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EB09D0">
      <w:pPr>
        <w:adjustRightInd w:val="0"/>
        <w:spacing w:line="276" w:lineRule="auto"/>
        <w:ind w:firstLine="422"/>
        <w:jc w:val="center"/>
        <w:rPr>
          <w:rFonts w:hint="eastAsia" w:ascii="黑体" w:hAnsi="黑体" w:eastAsia="黑体"/>
          <w:b/>
          <w:bCs/>
          <w:sz w:val="28"/>
          <w:szCs w:val="28"/>
        </w:rPr>
      </w:pPr>
      <w:r>
        <w:rPr>
          <w:rFonts w:hint="eastAsia" w:ascii="黑体" w:hAnsi="黑体" w:eastAsia="黑体"/>
          <w:b/>
          <w:bCs/>
          <w:sz w:val="28"/>
          <w:szCs w:val="28"/>
        </w:rPr>
        <w:t>兴银理财</w:t>
      </w:r>
      <w:permStart w:id="0" w:edGrp="everyone"/>
      <w:r>
        <w:rPr>
          <w:rFonts w:hint="eastAsia" w:ascii="黑体" w:hAnsi="黑体" w:eastAsia="黑体"/>
          <w:b/>
          <w:bCs/>
          <w:sz w:val="28"/>
          <w:szCs w:val="28"/>
        </w:rPr>
        <w:t>【稳添利</w:t>
      </w:r>
      <w:r>
        <w:rPr>
          <w:rStyle w:val="10"/>
          <w:rFonts w:hint="eastAsia" w:ascii="黑体" w:hAnsi="黑体" w:eastAsia="黑体"/>
          <w:sz w:val="28"/>
          <w:szCs w:val="28"/>
        </w:rPr>
        <w:t>日盈</w:t>
      </w:r>
      <w:r>
        <w:rPr>
          <w:rFonts w:hint="eastAsia" w:ascii="黑体" w:hAnsi="黑体" w:eastAsia="黑体"/>
          <w:b/>
          <w:bCs/>
          <w:sz w:val="28"/>
          <w:szCs w:val="28"/>
        </w:rPr>
        <w:t>日开固收类】</w:t>
      </w:r>
      <w:permEnd w:id="0"/>
      <w:r>
        <w:rPr>
          <w:rFonts w:hint="eastAsia" w:ascii="黑体" w:hAnsi="黑体" w:eastAsia="黑体"/>
          <w:b/>
          <w:bCs/>
          <w:sz w:val="28"/>
          <w:szCs w:val="28"/>
        </w:rPr>
        <w:t>理财产品</w:t>
      </w:r>
    </w:p>
    <w:p w14:paraId="1AE46155">
      <w:pPr>
        <w:adjustRightInd w:val="0"/>
        <w:spacing w:line="276" w:lineRule="auto"/>
        <w:ind w:firstLine="422"/>
        <w:jc w:val="center"/>
        <w:rPr>
          <w:rFonts w:hint="eastAsia" w:ascii="黑体" w:hAnsi="黑体" w:eastAsia="黑体"/>
          <w:b/>
          <w:bCs/>
          <w:sz w:val="28"/>
          <w:szCs w:val="28"/>
        </w:rPr>
      </w:pPr>
      <w:r>
        <w:rPr>
          <w:rFonts w:ascii="黑体" w:hAnsi="黑体" w:eastAsia="黑体"/>
          <w:b/>
          <w:bCs/>
          <w:sz w:val="28"/>
          <w:szCs w:val="28"/>
        </w:rPr>
        <w:t>风险揭示书</w:t>
      </w:r>
    </w:p>
    <w:p w14:paraId="4676BB97">
      <w:pPr>
        <w:autoSpaceDE w:val="0"/>
        <w:autoSpaceDN w:val="0"/>
        <w:adjustRightInd w:val="0"/>
        <w:snapToGrid w:val="0"/>
        <w:spacing w:before="156" w:beforeLines="50" w:line="320" w:lineRule="exact"/>
        <w:jc w:val="center"/>
        <w:rPr>
          <w:rFonts w:hint="eastAsia" w:ascii="宋体" w:hAnsi="宋体"/>
          <w:b/>
          <w:sz w:val="24"/>
        </w:rPr>
      </w:pPr>
      <w:r>
        <w:rPr>
          <w:rFonts w:hint="eastAsia" w:ascii="宋体" w:hAnsi="宋体"/>
          <w:b/>
          <w:sz w:val="24"/>
        </w:rPr>
        <w:t>理财非存款、产品有风险、投资须谨慎</w:t>
      </w:r>
    </w:p>
    <w:p w14:paraId="54077528">
      <w:pPr>
        <w:rPr>
          <w:rFonts w:hint="eastAsia" w:ascii="宋体" w:hAnsi="宋体" w:cs="仿宋_GB2312"/>
          <w:b/>
          <w:kern w:val="0"/>
          <w:sz w:val="18"/>
          <w:szCs w:val="18"/>
        </w:rPr>
      </w:pPr>
      <w:r>
        <w:rPr>
          <w:rFonts w:hint="eastAsia" w:ascii="宋体" w:hAnsi="宋体" w:cs="仿宋_GB2312"/>
          <w:b/>
          <w:kern w:val="0"/>
          <w:sz w:val="18"/>
          <w:szCs w:val="18"/>
        </w:rPr>
        <w:t>尊敬的投资者：</w:t>
      </w:r>
    </w:p>
    <w:p w14:paraId="3D266F8D">
      <w:pPr>
        <w:ind w:firstLine="448" w:firstLineChars="249"/>
        <w:rPr>
          <w:rFonts w:hint="eastAsia"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14:paraId="06923CE8">
      <w:pPr>
        <w:autoSpaceDE w:val="0"/>
        <w:autoSpaceDN w:val="0"/>
        <w:adjustRightInd w:val="0"/>
        <w:ind w:firstLine="420"/>
        <w:jc w:val="left"/>
        <w:rPr>
          <w:rFonts w:hint="eastAsia"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14:paraId="33374B1A">
      <w:pPr>
        <w:ind w:firstLine="448" w:firstLineChars="249"/>
        <w:rPr>
          <w:rFonts w:hint="eastAsia"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14:paraId="6B48EE79">
      <w:pPr>
        <w:ind w:firstLine="448" w:firstLineChars="249"/>
        <w:rPr>
          <w:rFonts w:hint="eastAsia"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14:paraId="67F1837A">
      <w:pPr>
        <w:ind w:firstLine="448" w:firstLineChars="249"/>
        <w:rPr>
          <w:rFonts w:hint="eastAsia"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permStart w:id="1" w:edGrp="everyone"/>
      <w:r>
        <w:rPr>
          <w:rFonts w:hint="eastAsia" w:ascii="宋体" w:hAnsi="宋体" w:cs="仿宋_GB2312"/>
          <w:kern w:val="0"/>
          <w:sz w:val="18"/>
          <w:szCs w:val="18"/>
        </w:rPr>
        <w:t>【兴银理财稳添利ESG日盈增利83号日开固收类理财产品】</w:t>
      </w:r>
      <w:permEnd w:id="1"/>
    </w:p>
    <w:p w14:paraId="374DD256">
      <w:pPr>
        <w:ind w:firstLine="448" w:firstLineChars="249"/>
        <w:rPr>
          <w:rFonts w:hint="eastAsia"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permStart w:id="2" w:edGrp="everyone"/>
      <w:r>
        <w:rPr>
          <w:rFonts w:hint="eastAsia" w:asciiTheme="majorEastAsia" w:hAnsiTheme="majorEastAsia" w:eastAsiaTheme="majorEastAsia"/>
          <w:bCs/>
          <w:kern w:val="0"/>
          <w:sz w:val="18"/>
          <w:szCs w:val="18"/>
        </w:rPr>
        <w:t>【兴银稳添利ESG日盈增利83号A】</w:t>
      </w:r>
      <w:r>
        <w:rPr>
          <w:rFonts w:hint="eastAsia" w:ascii="宋体" w:hAnsi="宋体" w:cs="仿宋_GB2312"/>
          <w:kern w:val="0"/>
          <w:sz w:val="18"/>
          <w:szCs w:val="18"/>
        </w:rPr>
        <w:t>（适用【</w:t>
      </w:r>
      <w:r>
        <w:rPr>
          <w:rFonts w:ascii="宋体" w:hAnsi="宋体" w:cs="仿宋_GB2312"/>
          <w:kern w:val="0"/>
          <w:sz w:val="18"/>
          <w:szCs w:val="18"/>
        </w:rPr>
        <w:t>A</w:t>
      </w:r>
      <w:r>
        <w:rPr>
          <w:rFonts w:hint="eastAsia" w:ascii="宋体" w:hAnsi="宋体" w:cs="仿宋_GB2312"/>
          <w:kern w:val="0"/>
          <w:sz w:val="18"/>
          <w:szCs w:val="18"/>
        </w:rPr>
        <w:t>】类份额）</w:t>
      </w:r>
      <w:permEnd w:id="2"/>
    </w:p>
    <w:p w14:paraId="3F8B001D">
      <w:pPr>
        <w:ind w:firstLine="448" w:firstLineChars="249"/>
        <w:rPr>
          <w:rFonts w:hint="eastAsia"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permStart w:id="3" w:edGrp="everyone"/>
      <w:r>
        <w:rPr>
          <w:rFonts w:hint="eastAsia" w:ascii="宋体" w:hAnsi="宋体" w:cs="仿宋_GB2312"/>
          <w:kern w:val="0"/>
          <w:sz w:val="18"/>
          <w:szCs w:val="18"/>
        </w:rPr>
        <w:t>【Z7002025000018】</w:t>
      </w:r>
      <w:permEnd w:id="3"/>
    </w:p>
    <w:p w14:paraId="52902E54">
      <w:pPr>
        <w:ind w:firstLine="448" w:firstLineChars="249"/>
        <w:rPr>
          <w:rFonts w:hint="eastAsia"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14:paraId="004E2589">
      <w:pPr>
        <w:ind w:firstLine="538" w:firstLineChars="299"/>
        <w:rPr>
          <w:rFonts w:hint="eastAsia" w:ascii="宋体" w:hAnsi="宋体" w:cs="仿宋_GB2312"/>
          <w:kern w:val="0"/>
          <w:sz w:val="18"/>
          <w:szCs w:val="18"/>
        </w:rPr>
      </w:pPr>
      <w:permStart w:id="4" w:edGrp="everyone"/>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w:t>
      </w:r>
      <w:permEnd w:id="4"/>
      <w:r>
        <w:rPr>
          <w:rFonts w:hint="eastAsia" w:ascii="宋体" w:hAnsi="宋体" w:cs="仿宋_GB2312"/>
          <w:kern w:val="0"/>
          <w:sz w:val="18"/>
          <w:szCs w:val="18"/>
        </w:rPr>
        <w:t>理财产品。</w:t>
      </w:r>
    </w:p>
    <w:p w14:paraId="5102A427">
      <w:pPr>
        <w:ind w:firstLine="448" w:firstLineChars="249"/>
        <w:rPr>
          <w:rFonts w:hint="eastAsia"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14:paraId="6D604C86">
      <w:pPr>
        <w:ind w:firstLine="448" w:firstLineChars="249"/>
        <w:rPr>
          <w:rFonts w:hint="eastAsia" w:ascii="宋体" w:hAnsi="宋体" w:cs="仿宋_GB2312"/>
          <w:kern w:val="0"/>
          <w:sz w:val="18"/>
          <w:szCs w:val="18"/>
        </w:rPr>
      </w:pPr>
      <w:permStart w:id="5" w:edGrp="everyone"/>
      <w:r>
        <w:rPr>
          <w:rFonts w:hint="eastAsia" w:ascii="宋体" w:hAnsi="宋体" w:cs="仿宋_GB2312"/>
          <w:kern w:val="0"/>
          <w:sz w:val="18"/>
          <w:szCs w:val="18"/>
        </w:rPr>
        <w:t>【无固定期限】</w:t>
      </w:r>
      <w:permEnd w:id="5"/>
      <w:r>
        <w:rPr>
          <w:rFonts w:ascii="宋体" w:hAnsi="宋体" w:cs="仿宋_GB2312"/>
          <w:kern w:val="0"/>
          <w:sz w:val="18"/>
          <w:szCs w:val="18"/>
        </w:rPr>
        <w:t>。</w:t>
      </w:r>
    </w:p>
    <w:p w14:paraId="2264AF89">
      <w:pPr>
        <w:ind w:firstLine="498" w:firstLineChars="249"/>
        <w:rPr>
          <w:rFonts w:hint="eastAsia" w:ascii="宋体" w:hAnsi="宋体" w:cs="仿宋_GB2312"/>
          <w:kern w:val="0"/>
          <w:sz w:val="18"/>
          <w:szCs w:val="18"/>
        </w:rPr>
      </w:pPr>
      <w:r>
        <w:rPr>
          <w:rFonts w:hint="eastAsia" w:ascii="宋体" w:hAnsiTheme="minorHAnsi"/>
          <w:color w:val="000000"/>
          <w:kern w:val="0"/>
          <w:sz w:val="20"/>
          <w:szCs w:val="20"/>
        </w:rPr>
        <w:t>本产品其他信息详见《产品说明书》。</w:t>
      </w:r>
    </w:p>
    <w:p w14:paraId="0BAEE22E">
      <w:pPr>
        <w:ind w:firstLine="448" w:firstLineChars="249"/>
        <w:rPr>
          <w:rFonts w:hint="eastAsia"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14:paraId="4F27B628">
      <w:pPr>
        <w:ind w:firstLine="448" w:firstLineChars="249"/>
        <w:rPr>
          <w:rFonts w:hint="eastAsia"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14:paraId="41840641">
      <w:pPr>
        <w:ind w:firstLine="448" w:firstLineChars="249"/>
        <w:rPr>
          <w:rFonts w:hint="eastAsia" w:ascii="宋体" w:hAnsi="宋体" w:cs="仿宋_GB2312"/>
          <w:kern w:val="0"/>
          <w:sz w:val="18"/>
          <w:szCs w:val="18"/>
        </w:rPr>
      </w:pPr>
      <w:r>
        <w:rPr>
          <w:rFonts w:hint="eastAsia" w:ascii="宋体" w:hAnsi="宋体" w:cs="仿宋_GB2312"/>
          <w:kern w:val="0"/>
          <w:sz w:val="18"/>
          <w:szCs w:val="18"/>
        </w:rPr>
        <w:t>（一）产品风险评级</w:t>
      </w:r>
    </w:p>
    <w:p w14:paraId="00F0D0C5">
      <w:pPr>
        <w:ind w:firstLine="448" w:firstLineChars="249"/>
        <w:rPr>
          <w:rFonts w:hint="eastAsia" w:ascii="宋体" w:hAnsi="宋体" w:cs="仿宋_GB2312"/>
          <w:kern w:val="0"/>
          <w:sz w:val="18"/>
          <w:szCs w:val="18"/>
        </w:rPr>
      </w:pPr>
      <w:r>
        <w:rPr>
          <w:rFonts w:hint="eastAsia" w:ascii="宋体" w:hAnsi="宋体" w:cs="仿宋_GB2312"/>
          <w:kern w:val="0"/>
          <w:sz w:val="18"/>
          <w:szCs w:val="18"/>
        </w:rPr>
        <w:t>本理财产品风险评级最终定义为</w:t>
      </w:r>
      <w:permStart w:id="6" w:edGrp="everyone"/>
      <w:r>
        <w:rPr>
          <w:rFonts w:hint="eastAsia" w:ascii="宋体" w:hAnsi="宋体" w:cs="仿宋_GB2312"/>
          <w:kern w:val="0"/>
          <w:sz w:val="18"/>
          <w:szCs w:val="18"/>
        </w:rPr>
        <w:t>【C</w:t>
      </w:r>
      <w:r>
        <w:rPr>
          <w:rFonts w:ascii="宋体" w:hAnsi="宋体" w:cs="仿宋_GB2312"/>
          <w:kern w:val="0"/>
          <w:sz w:val="18"/>
          <w:szCs w:val="18"/>
        </w:rPr>
        <w:t>R</w:t>
      </w:r>
      <w:r>
        <w:rPr>
          <w:rFonts w:hint="eastAsia" w:ascii="宋体" w:hAnsi="宋体" w:cs="仿宋_GB2312"/>
          <w:kern w:val="0"/>
          <w:sz w:val="18"/>
          <w:szCs w:val="18"/>
          <w:lang w:val="en-US" w:eastAsia="zh-CN"/>
        </w:rPr>
        <w:t>2</w:t>
      </w:r>
      <w:bookmarkStart w:id="1" w:name="_GoBack"/>
      <w:bookmarkEnd w:id="1"/>
      <w:r>
        <w:rPr>
          <w:rFonts w:ascii="宋体" w:hAnsi="宋体" w:cs="仿宋_GB2312"/>
          <w:kern w:val="0"/>
          <w:sz w:val="18"/>
          <w:szCs w:val="18"/>
        </w:rPr>
        <w:t>】</w:t>
      </w:r>
      <w:permEnd w:id="6"/>
      <w:r>
        <w:rPr>
          <w:rFonts w:hint="eastAsia" w:ascii="宋体" w:hAnsi="宋体" w:cs="仿宋_GB2312"/>
          <w:kern w:val="0"/>
          <w:sz w:val="18"/>
          <w:szCs w:val="18"/>
        </w:rPr>
        <w:t>（产品管理人定义的产品风险评级为</w:t>
      </w:r>
      <w:permStart w:id="7" w:edGrp="everyone"/>
      <w:r>
        <w:rPr>
          <w:rFonts w:hint="eastAsia" w:ascii="宋体" w:hAnsi="宋体" w:cs="仿宋_GB2312"/>
          <w:kern w:val="0"/>
          <w:sz w:val="18"/>
          <w:szCs w:val="18"/>
        </w:rPr>
        <w:t>【</w:t>
      </w:r>
      <w:r>
        <w:rPr>
          <w:rFonts w:ascii="宋体" w:hAnsi="宋体" w:cs="仿宋_GB2312"/>
          <w:kern w:val="0"/>
          <w:sz w:val="18"/>
          <w:szCs w:val="18"/>
        </w:rPr>
        <w:t>R1】</w:t>
      </w:r>
      <w:permEnd w:id="7"/>
      <w:r>
        <w:rPr>
          <w:rFonts w:hint="eastAsia" w:ascii="宋体" w:hAnsi="宋体" w:cs="仿宋_GB2312"/>
          <w:kern w:val="0"/>
          <w:sz w:val="18"/>
          <w:szCs w:val="18"/>
        </w:rPr>
        <w:t>；代理销售机构定义的产品风险评级为</w:t>
      </w:r>
      <w:permStart w:id="8" w:edGrp="everyone"/>
      <w:r>
        <w:rPr>
          <w:rFonts w:hint="eastAsia" w:ascii="宋体" w:hAnsi="宋体" w:cs="仿宋_GB2312"/>
          <w:kern w:val="0"/>
          <w:sz w:val="18"/>
          <w:szCs w:val="18"/>
        </w:rPr>
        <w:t>【C</w:t>
      </w:r>
      <w:bookmarkStart w:id="0" w:name="_Hlk196752540"/>
      <w:r>
        <w:rPr>
          <w:rFonts w:ascii="宋体" w:hAnsi="宋体" w:cs="仿宋_GB2312"/>
          <w:kern w:val="0"/>
          <w:sz w:val="18"/>
          <w:szCs w:val="18"/>
        </w:rPr>
        <w:t>R</w:t>
      </w:r>
      <w:bookmarkEnd w:id="0"/>
      <w:r>
        <w:rPr>
          <w:rFonts w:ascii="宋体" w:hAnsi="宋体" w:cs="仿宋_GB2312"/>
          <w:kern w:val="0"/>
          <w:sz w:val="18"/>
          <w:szCs w:val="18"/>
        </w:rPr>
        <w:t>1</w:t>
      </w:r>
      <w:r>
        <w:rPr>
          <w:rFonts w:hint="eastAsia" w:ascii="宋体" w:hAnsi="宋体" w:cs="仿宋_GB2312"/>
          <w:kern w:val="0"/>
          <w:sz w:val="18"/>
          <w:szCs w:val="18"/>
        </w:rPr>
        <w:t>】</w:t>
      </w:r>
      <w:permEnd w:id="8"/>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3185D149">
      <w:pPr>
        <w:ind w:firstLine="448" w:firstLineChars="249"/>
        <w:rPr>
          <w:rFonts w:hint="eastAsia" w:ascii="宋体" w:hAnsi="宋体" w:cs="仿宋_GB2312"/>
          <w:kern w:val="0"/>
          <w:sz w:val="18"/>
          <w:szCs w:val="18"/>
        </w:rPr>
      </w:pPr>
      <w:r>
        <w:rPr>
          <w:rFonts w:hint="eastAsia" w:ascii="宋体" w:hAnsi="宋体" w:cs="仿宋_GB2312"/>
          <w:kern w:val="0"/>
          <w:sz w:val="18"/>
          <w:szCs w:val="18"/>
        </w:rPr>
        <w:t>（二）适合投资者类型</w:t>
      </w:r>
    </w:p>
    <w:p w14:paraId="75BAAE71">
      <w:pPr>
        <w:ind w:firstLine="360" w:firstLineChars="200"/>
        <w:rPr>
          <w:rFonts w:hint="eastAsia"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14:paraId="15C310FD">
      <w:pPr>
        <w:ind w:firstLine="360" w:firstLineChars="200"/>
        <w:rPr>
          <w:rFonts w:hint="eastAsia" w:asciiTheme="majorEastAsia" w:hAnsiTheme="majorEastAsia" w:eastAsiaTheme="majorEastAsia"/>
          <w:bCs/>
          <w:color w:val="000000" w:themeColor="text1"/>
          <w:sz w:val="18"/>
          <w:szCs w:val="18"/>
          <w14:textFill>
            <w14:solidFill>
              <w14:schemeClr w14:val="tx1"/>
            </w14:solidFill>
          </w14:textFill>
        </w:rPr>
      </w:pPr>
      <w:permStart w:id="9" w:edGrp="everyone"/>
      <w:r>
        <w:rPr>
          <w:rFonts w:hint="eastAsia" w:asciiTheme="majorEastAsia" w:hAnsiTheme="majorEastAsia" w:eastAsiaTheme="majorEastAsia"/>
          <w:bCs/>
          <w:color w:val="000000" w:themeColor="text1"/>
          <w:sz w:val="18"/>
          <w:szCs w:val="18"/>
          <w14:textFill>
            <w14:solidFill>
              <w14:schemeClr w14:val="tx1"/>
            </w14:solidFill>
          </w14:textFill>
        </w:rPr>
        <w:t>■个人投资者</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 xml:space="preserve"> C</w:t>
      </w:r>
      <w:r>
        <w:rPr>
          <w:rFonts w:ascii="宋体" w:hAnsi="宋体" w:cs="仿宋_GB2312"/>
          <w:kern w:val="0"/>
          <w:sz w:val="18"/>
          <w:szCs w:val="18"/>
        </w:rPr>
        <w:t>R</w:t>
      </w:r>
      <w:r>
        <w:rPr>
          <w:rFonts w:asciiTheme="majorEastAsia" w:hAnsiTheme="majorEastAsia" w:eastAsiaTheme="majorEastAsia"/>
          <w:bCs/>
          <w:color w:val="000000" w:themeColor="text1"/>
          <w:sz w:val="18"/>
          <w:szCs w:val="18"/>
          <w14:textFill>
            <w14:solidFill>
              <w14:schemeClr w14:val="tx1"/>
            </w14:solidFill>
          </w14:textFill>
        </w:rPr>
        <w:t>1、</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w:t>
      </w:r>
      <w:r>
        <w:rPr>
          <w:rFonts w:ascii="宋体" w:hAnsi="宋体" w:cs="仿宋_GB2312"/>
          <w:kern w:val="0"/>
          <w:sz w:val="18"/>
          <w:szCs w:val="18"/>
        </w:rPr>
        <w:t>R</w:t>
      </w:r>
      <w:r>
        <w:rPr>
          <w:rFonts w:asciiTheme="majorEastAsia" w:hAnsiTheme="majorEastAsia" w:eastAsiaTheme="majorEastAsia"/>
          <w:bCs/>
          <w:color w:val="000000" w:themeColor="text1"/>
          <w:sz w:val="18"/>
          <w:szCs w:val="18"/>
          <w14:textFill>
            <w14:solidFill>
              <w14:schemeClr w14:val="tx1"/>
            </w14:solidFill>
          </w14:textFill>
        </w:rPr>
        <w:t>2、</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w:t>
      </w:r>
      <w:r>
        <w:rPr>
          <w:rFonts w:ascii="宋体" w:hAnsi="宋体" w:cs="仿宋_GB2312"/>
          <w:kern w:val="0"/>
          <w:sz w:val="18"/>
          <w:szCs w:val="18"/>
        </w:rPr>
        <w:t>R</w:t>
      </w:r>
      <w:r>
        <w:rPr>
          <w:rFonts w:asciiTheme="majorEastAsia" w:hAnsiTheme="majorEastAsia" w:eastAsiaTheme="majorEastAsia"/>
          <w:bCs/>
          <w:color w:val="000000" w:themeColor="text1"/>
          <w:sz w:val="18"/>
          <w:szCs w:val="18"/>
          <w14:textFill>
            <w14:solidFill>
              <w14:schemeClr w14:val="tx1"/>
            </w14:solidFill>
          </w14:textFill>
        </w:rPr>
        <w:t>3、</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w:t>
      </w:r>
      <w:r>
        <w:rPr>
          <w:rFonts w:ascii="宋体" w:hAnsi="宋体" w:cs="仿宋_GB2312"/>
          <w:kern w:val="0"/>
          <w:sz w:val="18"/>
          <w:szCs w:val="18"/>
        </w:rPr>
        <w:t>R</w:t>
      </w:r>
      <w:r>
        <w:rPr>
          <w:rFonts w:asciiTheme="majorEastAsia" w:hAnsiTheme="majorEastAsia" w:eastAsiaTheme="majorEastAsia"/>
          <w:bCs/>
          <w:color w:val="000000" w:themeColor="text1"/>
          <w:sz w:val="18"/>
          <w:szCs w:val="18"/>
          <w14:textFill>
            <w14:solidFill>
              <w14:schemeClr w14:val="tx1"/>
            </w14:solidFill>
          </w14:textFill>
        </w:rPr>
        <w:t>4、</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w:t>
      </w:r>
      <w:r>
        <w:rPr>
          <w:rFonts w:ascii="宋体" w:hAnsi="宋体" w:cs="仿宋_GB2312"/>
          <w:kern w:val="0"/>
          <w:sz w:val="18"/>
          <w:szCs w:val="18"/>
        </w:rPr>
        <w:t>R</w:t>
      </w:r>
      <w:r>
        <w:rPr>
          <w:rFonts w:asciiTheme="majorEastAsia" w:hAnsiTheme="majorEastAsia" w:eastAsiaTheme="majorEastAsia"/>
          <w:bCs/>
          <w:color w:val="000000" w:themeColor="text1"/>
          <w:sz w:val="18"/>
          <w:szCs w:val="18"/>
          <w14:textFill>
            <w14:solidFill>
              <w14:schemeClr w14:val="tx1"/>
            </w14:solidFill>
          </w14:textFill>
        </w:rPr>
        <w:t>5】</w:t>
      </w:r>
      <w:r>
        <w:rPr>
          <w:rFonts w:hint="eastAsia" w:asciiTheme="majorEastAsia" w:hAnsiTheme="majorEastAsia" w:eastAsiaTheme="majorEastAsia"/>
          <w:bCs/>
          <w:color w:val="000000" w:themeColor="text1"/>
          <w:sz w:val="18"/>
          <w:szCs w:val="18"/>
          <w14:textFill>
            <w14:solidFill>
              <w14:schemeClr w14:val="tx1"/>
            </w14:solidFill>
          </w14:textFill>
        </w:rPr>
        <w:t>。</w:t>
      </w:r>
    </w:p>
    <w:p w14:paraId="776F7361">
      <w:pPr>
        <w:ind w:firstLine="360" w:firstLineChars="200"/>
        <w:rPr>
          <w:rFonts w:hint="eastAsia"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w:t>
      </w:r>
      <w:r>
        <w:rPr>
          <w:rFonts w:asciiTheme="majorEastAsia" w:hAnsiTheme="majorEastAsia" w:eastAsiaTheme="majorEastAsia"/>
          <w:bCs/>
          <w:color w:val="000000" w:themeColor="text1"/>
          <w:sz w:val="18"/>
          <w:szCs w:val="18"/>
          <w14:textFill>
            <w14:solidFill>
              <w14:schemeClr w14:val="tx1"/>
            </w14:solidFill>
          </w14:textFill>
        </w:rPr>
        <w:t xml:space="preserve"> C</w:t>
      </w:r>
      <w:r>
        <w:rPr>
          <w:rFonts w:ascii="宋体" w:hAnsi="宋体" w:cs="仿宋_GB2312"/>
          <w:kern w:val="0"/>
          <w:sz w:val="18"/>
          <w:szCs w:val="18"/>
        </w:rPr>
        <w:t>R</w:t>
      </w:r>
      <w:r>
        <w:rPr>
          <w:rFonts w:asciiTheme="majorEastAsia" w:hAnsiTheme="majorEastAsia" w:eastAsiaTheme="majorEastAsia"/>
          <w:bCs/>
          <w:color w:val="000000" w:themeColor="text1"/>
          <w:sz w:val="18"/>
          <w:szCs w:val="18"/>
          <w14:textFill>
            <w14:solidFill>
              <w14:schemeClr w14:val="tx1"/>
            </w14:solidFill>
          </w14:textFill>
        </w:rPr>
        <w:t>1、</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w:t>
      </w:r>
      <w:r>
        <w:rPr>
          <w:rFonts w:ascii="宋体" w:hAnsi="宋体" w:cs="仿宋_GB2312"/>
          <w:kern w:val="0"/>
          <w:sz w:val="18"/>
          <w:szCs w:val="18"/>
        </w:rPr>
        <w:t>R</w:t>
      </w:r>
      <w:r>
        <w:rPr>
          <w:rFonts w:asciiTheme="majorEastAsia" w:hAnsiTheme="majorEastAsia" w:eastAsiaTheme="majorEastAsia"/>
          <w:bCs/>
          <w:color w:val="000000" w:themeColor="text1"/>
          <w:sz w:val="18"/>
          <w:szCs w:val="18"/>
          <w14:textFill>
            <w14:solidFill>
              <w14:schemeClr w14:val="tx1"/>
            </w14:solidFill>
          </w14:textFill>
        </w:rPr>
        <w:t>2、</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w:t>
      </w:r>
      <w:r>
        <w:rPr>
          <w:rFonts w:ascii="宋体" w:hAnsi="宋体" w:cs="仿宋_GB2312"/>
          <w:kern w:val="0"/>
          <w:sz w:val="18"/>
          <w:szCs w:val="18"/>
        </w:rPr>
        <w:t>R</w:t>
      </w:r>
      <w:r>
        <w:rPr>
          <w:rFonts w:asciiTheme="majorEastAsia" w:hAnsiTheme="majorEastAsia" w:eastAsiaTheme="majorEastAsia"/>
          <w:bCs/>
          <w:color w:val="000000" w:themeColor="text1"/>
          <w:sz w:val="18"/>
          <w:szCs w:val="18"/>
          <w14:textFill>
            <w14:solidFill>
              <w14:schemeClr w14:val="tx1"/>
            </w14:solidFill>
          </w14:textFill>
        </w:rPr>
        <w:t>3、</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w:t>
      </w:r>
      <w:r>
        <w:rPr>
          <w:rFonts w:ascii="宋体" w:hAnsi="宋体" w:cs="仿宋_GB2312"/>
          <w:kern w:val="0"/>
          <w:sz w:val="18"/>
          <w:szCs w:val="18"/>
        </w:rPr>
        <w:t>R</w:t>
      </w:r>
      <w:r>
        <w:rPr>
          <w:rFonts w:asciiTheme="majorEastAsia" w:hAnsiTheme="majorEastAsia" w:eastAsiaTheme="majorEastAsia"/>
          <w:bCs/>
          <w:color w:val="000000" w:themeColor="text1"/>
          <w:sz w:val="18"/>
          <w:szCs w:val="18"/>
          <w14:textFill>
            <w14:solidFill>
              <w14:schemeClr w14:val="tx1"/>
            </w14:solidFill>
          </w14:textFill>
        </w:rPr>
        <w:t>4、</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w:t>
      </w:r>
      <w:r>
        <w:rPr>
          <w:rFonts w:ascii="宋体" w:hAnsi="宋体" w:cs="仿宋_GB2312"/>
          <w:kern w:val="0"/>
          <w:sz w:val="18"/>
          <w:szCs w:val="18"/>
        </w:rPr>
        <w:t>R</w:t>
      </w:r>
      <w:r>
        <w:rPr>
          <w:rFonts w:asciiTheme="majorEastAsia" w:hAnsiTheme="majorEastAsia" w:eastAsiaTheme="majorEastAsia"/>
          <w:bCs/>
          <w:color w:val="000000" w:themeColor="text1"/>
          <w:sz w:val="18"/>
          <w:szCs w:val="18"/>
          <w14:textFill>
            <w14:solidFill>
              <w14:schemeClr w14:val="tx1"/>
            </w14:solidFill>
          </w14:textFill>
        </w:rPr>
        <w:t>5</w:t>
      </w:r>
      <w:r>
        <w:rPr>
          <w:rFonts w:hint="eastAsia" w:asciiTheme="majorEastAsia" w:hAnsiTheme="majorEastAsia" w:eastAsiaTheme="majorEastAsia"/>
          <w:bCs/>
          <w:color w:val="000000" w:themeColor="text1"/>
          <w:sz w:val="18"/>
          <w:szCs w:val="18"/>
          <w14:textFill>
            <w14:solidFill>
              <w14:schemeClr w14:val="tx1"/>
            </w14:solidFill>
          </w14:textFill>
        </w:rPr>
        <w:t>。</w:t>
      </w:r>
    </w:p>
    <w:permEnd w:id="9"/>
    <w:p w14:paraId="09AA364B">
      <w:pPr>
        <w:ind w:firstLine="360" w:firstLineChars="200"/>
        <w:rPr>
          <w:rFonts w:hint="eastAsia"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14:paraId="61F19E01">
      <w:pPr>
        <w:ind w:firstLine="360" w:firstLineChars="200"/>
        <w:rPr>
          <w:rFonts w:hint="eastAsia"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14:paraId="0D478680">
      <w:pPr>
        <w:ind w:firstLine="448" w:firstLineChars="249"/>
        <w:rPr>
          <w:rFonts w:hint="eastAsia"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14:paraId="0BFF92D4">
      <w:pPr>
        <w:ind w:firstLine="361" w:firstLineChars="200"/>
        <w:rPr>
          <w:rFonts w:hint="eastAsia" w:ascii="宋体" w:hAnsi="宋体"/>
          <w:b/>
          <w:sz w:val="18"/>
          <w:szCs w:val="18"/>
        </w:rPr>
      </w:pPr>
      <w:r>
        <w:rPr>
          <w:rFonts w:hint="eastAsia" w:ascii="宋体" w:hAnsi="宋体"/>
          <w:b/>
          <w:sz w:val="18"/>
          <w:szCs w:val="18"/>
        </w:rPr>
        <w:t>（一）投资者投资本产品可能面临的特定风险主要包括（但不限于）：</w:t>
      </w:r>
    </w:p>
    <w:p w14:paraId="66B07693">
      <w:pPr>
        <w:ind w:firstLine="360" w:firstLineChars="200"/>
        <w:rPr>
          <w:rFonts w:hint="eastAsia" w:ascii="宋体" w:hAnsi="宋体"/>
          <w:sz w:val="18"/>
          <w:szCs w:val="18"/>
        </w:rPr>
      </w:pPr>
      <w:permStart w:id="10" w:edGrp="everyone"/>
      <w:r>
        <w:rPr>
          <w:rFonts w:hint="eastAsia" w:ascii="宋体" w:hAnsi="宋体"/>
          <w:sz w:val="18"/>
          <w:szCs w:val="18"/>
        </w:rPr>
        <w:t>【1.拟投资市场和资产的风险：</w:t>
      </w:r>
    </w:p>
    <w:p w14:paraId="1AC1E203">
      <w:pPr>
        <w:ind w:firstLine="360" w:firstLineChars="200"/>
        <w:rPr>
          <w:rFonts w:hint="eastAsia" w:ascii="宋体" w:hAnsi="宋体"/>
          <w:sz w:val="18"/>
          <w:szCs w:val="18"/>
        </w:rPr>
      </w:pPr>
      <w:r>
        <w:rPr>
          <w:rFonts w:hint="eastAsia" w:ascii="宋体" w:hAnsi="宋体"/>
          <w:sz w:val="18"/>
          <w:szCs w:val="18"/>
        </w:rPr>
        <w:t>（1）投资债权类资产的风险</w:t>
      </w:r>
    </w:p>
    <w:p w14:paraId="1B084331">
      <w:pPr>
        <w:ind w:firstLine="360" w:firstLineChars="200"/>
        <w:rPr>
          <w:rFonts w:hint="eastAsia" w:ascii="宋体" w:hAnsi="宋体"/>
          <w:sz w:val="18"/>
          <w:szCs w:val="18"/>
        </w:rPr>
      </w:pPr>
      <w:r>
        <w:rPr>
          <w:rFonts w:hint="eastAsia" w:ascii="宋体" w:hAnsi="宋体"/>
          <w:sz w:val="18"/>
          <w:szCs w:val="18"/>
        </w:rPr>
        <w:t>1）投资标准化债权类资产的风险</w:t>
      </w:r>
    </w:p>
    <w:p w14:paraId="270667D3">
      <w:pPr>
        <w:ind w:firstLine="360" w:firstLineChars="200"/>
        <w:rPr>
          <w:rFonts w:hint="eastAsia"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ermEnd w:id="10"/>
    <w:p w14:paraId="3BC9C5E5">
      <w:pPr>
        <w:pStyle w:val="14"/>
        <w:ind w:firstLine="361"/>
        <w:rPr>
          <w:rFonts w:hint="eastAsia"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14:paraId="46B9BD87">
      <w:pPr>
        <w:pStyle w:val="14"/>
        <w:ind w:firstLine="426" w:firstLineChars="0"/>
        <w:rPr>
          <w:rFonts w:hint="eastAsia" w:ascii="宋体" w:hAnsi="宋体"/>
          <w:b/>
          <w:bCs/>
          <w:sz w:val="18"/>
          <w:szCs w:val="18"/>
        </w:rPr>
      </w:pPr>
      <w:r>
        <w:rPr>
          <w:rFonts w:hint="eastAsia" w:ascii="宋体" w:hAnsi="宋体"/>
          <w:b/>
          <w:bCs/>
          <w:sz w:val="18"/>
          <w:szCs w:val="18"/>
        </w:rPr>
        <w:t xml:space="preserve">（二）投资者投资本产品可能面临的一般风险主要包括（但不限于）： </w:t>
      </w:r>
    </w:p>
    <w:p w14:paraId="5EA8CDFD">
      <w:pPr>
        <w:pStyle w:val="14"/>
        <w:ind w:firstLine="426" w:firstLineChars="0"/>
        <w:rPr>
          <w:rFonts w:hint="eastAsia"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14:paraId="0CF35CF9">
      <w:pPr>
        <w:pStyle w:val="14"/>
        <w:ind w:firstLine="426" w:firstLineChars="0"/>
        <w:rPr>
          <w:rFonts w:hint="eastAsia"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6F426BCF">
      <w:pPr>
        <w:pStyle w:val="14"/>
        <w:ind w:firstLine="426" w:firstLineChars="0"/>
        <w:rPr>
          <w:rFonts w:hint="eastAsia"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14:paraId="622EDC9B">
      <w:pPr>
        <w:pStyle w:val="14"/>
        <w:ind w:firstLine="426" w:firstLineChars="0"/>
        <w:rPr>
          <w:rFonts w:hint="eastAsia"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3AD2229E">
      <w:pPr>
        <w:pStyle w:val="14"/>
        <w:ind w:firstLine="426" w:firstLineChars="0"/>
        <w:rPr>
          <w:rFonts w:hint="eastAsia" w:ascii="宋体" w:hAnsi="宋体"/>
          <w:b/>
          <w:bCs/>
          <w:sz w:val="18"/>
          <w:szCs w:val="18"/>
        </w:rPr>
      </w:pPr>
      <w:r>
        <w:rPr>
          <w:rFonts w:hint="eastAsia" w:ascii="宋体" w:hAnsi="宋体"/>
          <w:b/>
          <w:bCs/>
          <w:sz w:val="18"/>
          <w:szCs w:val="18"/>
        </w:rPr>
        <w:t>3.市场</w:t>
      </w:r>
      <w:r>
        <w:rPr>
          <w:rFonts w:ascii="宋体" w:hAnsi="宋体"/>
          <w:b/>
          <w:bCs/>
          <w:sz w:val="18"/>
          <w:szCs w:val="18"/>
        </w:rPr>
        <w:t>风险</w:t>
      </w:r>
    </w:p>
    <w:p w14:paraId="2A86C7FD">
      <w:pPr>
        <w:pStyle w:val="14"/>
        <w:ind w:firstLine="426" w:firstLineChars="0"/>
        <w:rPr>
          <w:rFonts w:hint="eastAsia"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0FB2FE6B">
      <w:pPr>
        <w:pStyle w:val="14"/>
        <w:ind w:firstLine="426" w:firstLineChars="0"/>
        <w:rPr>
          <w:rFonts w:hint="eastAsia" w:ascii="宋体" w:hAnsi="宋体" w:cs="仿宋_GB2312"/>
          <w:b/>
          <w:kern w:val="0"/>
          <w:sz w:val="18"/>
          <w:szCs w:val="18"/>
        </w:rPr>
      </w:pPr>
      <w:r>
        <w:rPr>
          <w:rFonts w:hint="eastAsia" w:ascii="宋体" w:hAnsi="宋体" w:cs="仿宋_GB2312"/>
          <w:b/>
          <w:kern w:val="0"/>
          <w:sz w:val="18"/>
          <w:szCs w:val="18"/>
        </w:rPr>
        <w:t>4.流动性风险</w:t>
      </w:r>
    </w:p>
    <w:p w14:paraId="60D7099D">
      <w:pPr>
        <w:pStyle w:val="14"/>
        <w:ind w:firstLine="426" w:firstLineChars="0"/>
        <w:rPr>
          <w:rFonts w:hint="eastAsia"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3498B576">
      <w:pPr>
        <w:pStyle w:val="14"/>
        <w:ind w:firstLine="426" w:firstLineChars="0"/>
        <w:rPr>
          <w:rFonts w:hint="eastAsia"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14:paraId="61763925">
      <w:pPr>
        <w:pStyle w:val="14"/>
        <w:ind w:firstLine="426" w:firstLineChars="0"/>
        <w:rPr>
          <w:rFonts w:hint="eastAsia"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14:paraId="0F7B3303">
      <w:pPr>
        <w:pStyle w:val="14"/>
        <w:ind w:firstLine="426" w:firstLineChars="0"/>
        <w:rPr>
          <w:rFonts w:hint="eastAsia"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14:paraId="0460A328">
      <w:pPr>
        <w:pStyle w:val="14"/>
        <w:ind w:firstLine="426" w:firstLineChars="0"/>
        <w:rPr>
          <w:rFonts w:hint="eastAsia"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14:paraId="0A5FD754">
      <w:pPr>
        <w:pStyle w:val="14"/>
        <w:ind w:firstLine="426" w:firstLineChars="0"/>
        <w:rPr>
          <w:rFonts w:hint="eastAsia"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14:paraId="19D461EC">
      <w:pPr>
        <w:pStyle w:val="14"/>
        <w:ind w:firstLine="426" w:firstLineChars="0"/>
        <w:rPr>
          <w:rFonts w:hint="eastAsia"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14:paraId="03BD5B40">
      <w:pPr>
        <w:pStyle w:val="14"/>
        <w:ind w:firstLine="426" w:firstLineChars="0"/>
        <w:rPr>
          <w:rFonts w:hint="eastAsia"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14:paraId="126268CA">
      <w:pPr>
        <w:pStyle w:val="14"/>
        <w:ind w:firstLine="426" w:firstLineChars="0"/>
        <w:rPr>
          <w:rFonts w:hint="eastAsia"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14:paraId="645ACC3F">
      <w:pPr>
        <w:ind w:firstLine="361" w:firstLineChars="200"/>
        <w:rPr>
          <w:rFonts w:hint="eastAsia"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14:paraId="0A5A75F1">
      <w:pPr>
        <w:ind w:firstLine="360" w:firstLineChars="200"/>
        <w:rPr>
          <w:rFonts w:hint="eastAsia"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14:paraId="4B6B44FD">
      <w:pPr>
        <w:pStyle w:val="14"/>
        <w:ind w:firstLine="361"/>
        <w:rPr>
          <w:rFonts w:hint="eastAsia"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14:paraId="6D427EB7">
      <w:pPr>
        <w:pStyle w:val="14"/>
        <w:ind w:firstLine="360"/>
        <w:rPr>
          <w:rFonts w:hint="eastAsia"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14:paraId="2B042665">
      <w:pPr>
        <w:pStyle w:val="14"/>
        <w:ind w:firstLine="361"/>
        <w:rPr>
          <w:rFonts w:hint="eastAsia"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14:paraId="5941CA87">
      <w:pPr>
        <w:pStyle w:val="14"/>
        <w:ind w:firstLine="360"/>
        <w:rPr>
          <w:rFonts w:hint="eastAsia"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14:paraId="4C039514">
      <w:pPr>
        <w:pStyle w:val="14"/>
        <w:ind w:firstLine="361"/>
        <w:rPr>
          <w:rFonts w:hint="eastAsia"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14:paraId="407AF9A8">
      <w:pPr>
        <w:pStyle w:val="14"/>
        <w:ind w:firstLine="360"/>
        <w:rPr>
          <w:rFonts w:hint="eastAsia"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14:paraId="48C87042">
      <w:pPr>
        <w:pStyle w:val="14"/>
        <w:ind w:firstLine="361"/>
        <w:rPr>
          <w:rFonts w:hint="eastAsia"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14:paraId="4C875FBB">
      <w:pPr>
        <w:pStyle w:val="14"/>
        <w:ind w:firstLine="360"/>
        <w:rPr>
          <w:rFonts w:hint="eastAsia"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14:paraId="007054EA">
      <w:pPr>
        <w:pStyle w:val="14"/>
        <w:ind w:firstLine="361"/>
        <w:rPr>
          <w:rFonts w:hint="eastAsia"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14:paraId="70764F86">
      <w:pPr>
        <w:pStyle w:val="14"/>
        <w:ind w:firstLine="360"/>
        <w:rPr>
          <w:rFonts w:hint="eastAsia"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14:paraId="05D5C291">
      <w:pPr>
        <w:pStyle w:val="14"/>
        <w:ind w:firstLine="361"/>
        <w:rPr>
          <w:rFonts w:hint="eastAsia"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14:paraId="7495EF7E">
      <w:pPr>
        <w:pStyle w:val="14"/>
        <w:ind w:firstLine="360"/>
        <w:rPr>
          <w:rFonts w:hint="eastAsia"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3711A52B">
      <w:pPr>
        <w:spacing w:line="276" w:lineRule="auto"/>
        <w:ind w:firstLine="361" w:firstLineChars="200"/>
        <w:rPr>
          <w:rFonts w:hint="eastAsia"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14:paraId="3AFA27C8">
      <w:pPr>
        <w:spacing w:line="276" w:lineRule="auto"/>
        <w:ind w:firstLine="360" w:firstLineChars="200"/>
        <w:rPr>
          <w:rFonts w:hint="eastAsia"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14:paraId="29D4F03C">
      <w:pPr>
        <w:pStyle w:val="14"/>
        <w:ind w:firstLineChars="0"/>
        <w:rPr>
          <w:rFonts w:hint="eastAsia" w:ascii="宋体" w:hAnsi="宋体"/>
          <w:b/>
          <w:bCs/>
          <w:sz w:val="18"/>
          <w:szCs w:val="18"/>
        </w:rPr>
      </w:pPr>
      <w:r>
        <w:rPr>
          <w:rFonts w:hint="eastAsia" w:ascii="宋体" w:hAnsi="宋体"/>
          <w:b/>
          <w:bCs/>
          <w:sz w:val="18"/>
          <w:szCs w:val="18"/>
        </w:rPr>
        <w:t>17.关联交易风险</w:t>
      </w:r>
    </w:p>
    <w:p w14:paraId="6910F9B2">
      <w:pPr>
        <w:pStyle w:val="14"/>
        <w:ind w:firstLineChars="0"/>
        <w:rPr>
          <w:rFonts w:hint="eastAsia"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14:paraId="4B4821F1">
      <w:pPr>
        <w:autoSpaceDE w:val="0"/>
        <w:autoSpaceDN w:val="0"/>
        <w:adjustRightInd w:val="0"/>
        <w:ind w:firstLine="420"/>
        <w:jc w:val="left"/>
        <w:rPr>
          <w:rFonts w:hint="eastAsia"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14:paraId="294AF331">
      <w:pPr>
        <w:autoSpaceDE w:val="0"/>
        <w:autoSpaceDN w:val="0"/>
        <w:adjustRightInd w:val="0"/>
        <w:ind w:firstLine="420"/>
        <w:jc w:val="left"/>
        <w:rPr>
          <w:rFonts w:hint="eastAsia" w:ascii="黑体" w:hAnsi="黑体" w:eastAsia="黑体" w:cs="黑体"/>
          <w:kern w:val="0"/>
          <w:sz w:val="18"/>
          <w:szCs w:val="18"/>
        </w:rPr>
      </w:pPr>
      <w:r>
        <w:rPr>
          <w:rFonts w:hint="eastAsia" w:ascii="黑体" w:hAnsi="黑体" w:eastAsia="黑体" w:cs="黑体"/>
          <w:color w:val="000000"/>
          <w:kern w:val="0"/>
          <w:sz w:val="18"/>
          <w:szCs w:val="18"/>
        </w:rPr>
        <w:t>五、【非机构投资者适用】</w:t>
      </w:r>
      <w:r>
        <w:rPr>
          <w:rFonts w:hint="eastAsia" w:ascii="黑体" w:hAnsi="黑体" w:eastAsia="黑体" w:cs="黑体"/>
          <w:kern w:val="0"/>
          <w:sz w:val="18"/>
          <w:szCs w:val="18"/>
        </w:rPr>
        <w:t>《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14:paraId="3B607412">
      <w:pPr>
        <w:autoSpaceDE w:val="0"/>
        <w:autoSpaceDN w:val="0"/>
        <w:adjustRightInd w:val="0"/>
        <w:ind w:firstLine="420"/>
        <w:jc w:val="left"/>
        <w:rPr>
          <w:rFonts w:hint="eastAsia" w:ascii="黑体" w:hAnsi="黑体" w:eastAsia="黑体" w:cs="黑体"/>
          <w:kern w:val="0"/>
          <w:sz w:val="18"/>
          <w:szCs w:val="18"/>
        </w:rPr>
      </w:pPr>
      <w:r>
        <w:rPr>
          <w:rFonts w:hint="eastAsia" w:ascii="黑体" w:hAnsi="黑体" w:eastAsia="黑体" w:cs="黑体"/>
          <w:sz w:val="18"/>
          <w:szCs w:val="18"/>
        </w:rPr>
        <w:t>六、</w:t>
      </w:r>
      <w:r>
        <w:rPr>
          <w:rFonts w:hint="eastAsia" w:ascii="黑体" w:hAnsi="黑体" w:eastAsia="黑体" w:cs="黑体"/>
          <w:color w:val="000000"/>
          <w:kern w:val="0"/>
          <w:sz w:val="18"/>
          <w:szCs w:val="18"/>
        </w:rPr>
        <w:t>【非机构投资者适用】</w:t>
      </w:r>
      <w:r>
        <w:rPr>
          <w:rFonts w:hint="eastAsia" w:ascii="黑体" w:hAnsi="黑体" w:eastAsia="黑体" w:cs="黑体"/>
          <w:sz w:val="18"/>
          <w:szCs w:val="18"/>
        </w:rPr>
        <w:t>当销售机构销售产品风险评级为</w:t>
      </w:r>
      <w:r>
        <w:rPr>
          <w:rFonts w:ascii="黑体" w:hAnsi="黑体" w:eastAsia="黑体" w:cs="黑体"/>
          <w:sz w:val="18"/>
          <w:szCs w:val="18"/>
        </w:rPr>
        <w:t>R4</w:t>
      </w:r>
      <w:r>
        <w:rPr>
          <w:rFonts w:hint="eastAsia" w:ascii="黑体" w:hAnsi="黑体" w:eastAsia="黑体" w:cs="黑体"/>
          <w:sz w:val="18"/>
          <w:szCs w:val="18"/>
        </w:rPr>
        <w:t>及</w:t>
      </w:r>
      <w:r>
        <w:rPr>
          <w:rFonts w:ascii="黑体" w:hAnsi="黑体" w:eastAsia="黑体" w:cs="黑体"/>
          <w:sz w:val="18"/>
          <w:szCs w:val="18"/>
        </w:rPr>
        <w:t>以上</w:t>
      </w:r>
      <w:r>
        <w:rPr>
          <w:rFonts w:hint="eastAsia" w:ascii="黑体" w:hAnsi="黑体" w:eastAsia="黑体" w:cs="黑体"/>
          <w:sz w:val="18"/>
          <w:szCs w:val="18"/>
        </w:rPr>
        <w:t>的理财产品时，</w:t>
      </w:r>
      <w:r>
        <w:rPr>
          <w:rFonts w:hint="eastAsia" w:ascii="黑体" w:hAnsi="黑体" w:eastAsia="黑体" w:cs="黑体"/>
          <w:kern w:val="0"/>
          <w:sz w:val="18"/>
          <w:szCs w:val="18"/>
        </w:rPr>
        <w:t>您签署本销售文件即视为您同意销售机构可以通过线上渠道向您销售产品风险评级为</w:t>
      </w:r>
      <w:r>
        <w:rPr>
          <w:rFonts w:ascii="黑体" w:hAnsi="黑体" w:eastAsia="黑体" w:cs="黑体"/>
          <w:kern w:val="0"/>
          <w:sz w:val="18"/>
          <w:szCs w:val="18"/>
        </w:rPr>
        <w:t>R4及以上的理财产品。</w:t>
      </w:r>
    </w:p>
    <w:p w14:paraId="7E51A523">
      <w:pPr>
        <w:ind w:left="540"/>
        <w:jc w:val="right"/>
        <w:rPr>
          <w:rFonts w:hint="eastAsia" w:ascii="宋体" w:hAnsi="宋体"/>
          <w:sz w:val="18"/>
          <w:szCs w:val="18"/>
        </w:rPr>
      </w:pPr>
    </w:p>
    <w:p w14:paraId="1D391E50">
      <w:pPr>
        <w:wordWrap w:val="0"/>
        <w:ind w:left="540"/>
        <w:jc w:val="right"/>
        <w:rPr>
          <w:rFonts w:hint="eastAsia"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14:paraId="334C9A70">
      <w:pPr>
        <w:wordWrap w:val="0"/>
        <w:ind w:left="540"/>
        <w:jc w:val="right"/>
        <w:rPr>
          <w:rFonts w:hint="eastAsia" w:ascii="宋体" w:hAnsi="宋体"/>
          <w:sz w:val="18"/>
          <w:szCs w:val="18"/>
        </w:rPr>
      </w:pPr>
      <w:permStart w:id="11" w:edGrp="everyone"/>
      <w:r>
        <w:rPr>
          <w:rFonts w:hint="eastAsia" w:ascii="宋体" w:hAnsi="宋体"/>
          <w:sz w:val="18"/>
          <w:szCs w:val="18"/>
        </w:rPr>
        <w:t>销售机构（【华夏银行股份有限公司】）</w:t>
      </w:r>
    </w:p>
    <w:permEnd w:id="11"/>
    <w:p w14:paraId="1CCD7715">
      <w:pPr>
        <w:widowControl/>
        <w:jc w:val="left"/>
        <w:rPr>
          <w:rFonts w:hint="eastAsia" w:ascii="宋体" w:hAnsi="宋体"/>
          <w:sz w:val="18"/>
          <w:szCs w:val="18"/>
        </w:rPr>
      </w:pPr>
      <w:r>
        <w:rPr>
          <w:rFonts w:ascii="宋体" w:hAnsi="宋体"/>
          <w:sz w:val="18"/>
          <w:szCs w:val="18"/>
        </w:rPr>
        <w:br w:type="page"/>
      </w:r>
    </w:p>
    <w:p w14:paraId="115E238B">
      <w:pPr>
        <w:ind w:left="540"/>
        <w:jc w:val="right"/>
        <w:rPr>
          <w:rFonts w:hint="eastAsia" w:ascii="宋体" w:hAnsi="宋体"/>
          <w:sz w:val="18"/>
          <w:szCs w:val="18"/>
        </w:rPr>
      </w:pPr>
    </w:p>
    <w:p w14:paraId="638646D6">
      <w:pPr>
        <w:ind w:left="540"/>
        <w:jc w:val="right"/>
        <w:rPr>
          <w:rFonts w:hint="eastAsia" w:ascii="宋体" w:hAnsi="宋体"/>
          <w:sz w:val="18"/>
          <w:szCs w:val="18"/>
        </w:rPr>
      </w:pPr>
    </w:p>
    <w:tbl>
      <w:tblPr>
        <w:tblStyle w:val="8"/>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14:paraId="1686E3C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14:paraId="31587A8D">
            <w:pPr>
              <w:spacing w:line="280" w:lineRule="atLeast"/>
              <w:jc w:val="center"/>
              <w:rPr>
                <w:rFonts w:hint="eastAsia" w:ascii="宋体" w:hAnsi="宋体" w:cs="Arial"/>
                <w:b/>
                <w:kern w:val="0"/>
                <w:sz w:val="20"/>
                <w:szCs w:val="21"/>
              </w:rPr>
            </w:pPr>
            <w:r>
              <w:rPr>
                <w:rFonts w:hint="eastAsia" w:ascii="宋体" w:hAnsi="宋体" w:cs="Arial"/>
                <w:b/>
                <w:kern w:val="0"/>
                <w:sz w:val="20"/>
                <w:szCs w:val="21"/>
              </w:rPr>
              <w:t>投资者确认栏</w:t>
            </w:r>
          </w:p>
          <w:p w14:paraId="2A6241E6">
            <w:pPr>
              <w:spacing w:line="280" w:lineRule="atLeast"/>
              <w:jc w:val="center"/>
              <w:rPr>
                <w:rFonts w:hint="eastAsia" w:ascii="宋体" w:hAnsi="宋体" w:cs="Arial"/>
                <w:b/>
                <w:kern w:val="0"/>
                <w:sz w:val="20"/>
                <w:szCs w:val="21"/>
              </w:rPr>
            </w:pPr>
            <w:r>
              <w:rPr>
                <w:rFonts w:hint="eastAsia" w:ascii="宋体" w:hAnsi="宋体" w:cs="Arial"/>
                <w:b/>
                <w:kern w:val="0"/>
                <w:sz w:val="20"/>
                <w:szCs w:val="21"/>
              </w:rPr>
              <w:t>（适用于个人投资者）</w:t>
            </w:r>
          </w:p>
        </w:tc>
      </w:tr>
      <w:tr w14:paraId="1156822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14:paraId="4FDC3CBA">
            <w:pPr>
              <w:spacing w:line="280" w:lineRule="atLeast"/>
              <w:jc w:val="left"/>
              <w:rPr>
                <w:rFonts w:hint="eastAsia"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14:paraId="4F128EB3">
            <w:pPr>
              <w:spacing w:line="280" w:lineRule="atLeast"/>
              <w:jc w:val="left"/>
              <w:rPr>
                <w:rFonts w:hint="eastAsia" w:ascii="宋体" w:hAnsi="宋体" w:cs="Arial"/>
                <w:sz w:val="18"/>
                <w:szCs w:val="18"/>
              </w:rPr>
            </w:pPr>
          </w:p>
          <w:p w14:paraId="15F94EC8">
            <w:pPr>
              <w:spacing w:line="280" w:lineRule="atLeast"/>
              <w:jc w:val="left"/>
              <w:rPr>
                <w:rFonts w:hint="eastAsia"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18501BC3">
            <w:pPr>
              <w:spacing w:line="280" w:lineRule="atLeast"/>
              <w:jc w:val="left"/>
              <w:rPr>
                <w:rFonts w:hint="eastAsia" w:ascii="宋体" w:hAnsi="宋体" w:cs="Arial"/>
                <w:kern w:val="0"/>
                <w:sz w:val="18"/>
                <w:szCs w:val="18"/>
              </w:rPr>
            </w:pPr>
          </w:p>
          <w:p w14:paraId="5445B7CB">
            <w:pPr>
              <w:spacing w:line="280" w:lineRule="atLeast"/>
              <w:jc w:val="left"/>
              <w:rPr>
                <w:rFonts w:hint="eastAsia"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14:paraId="11A8CA2E">
            <w:pPr>
              <w:spacing w:line="280" w:lineRule="atLeast"/>
              <w:jc w:val="left"/>
              <w:rPr>
                <w:rFonts w:hint="eastAsia" w:ascii="宋体" w:hAnsi="宋体" w:cs="Arial"/>
                <w:kern w:val="0"/>
                <w:sz w:val="18"/>
                <w:szCs w:val="18"/>
              </w:rPr>
            </w:pPr>
          </w:p>
          <w:p w14:paraId="1360FB9D">
            <w:pPr>
              <w:spacing w:line="280" w:lineRule="atLeast"/>
              <w:jc w:val="left"/>
              <w:rPr>
                <w:kern w:val="0"/>
                <w:sz w:val="18"/>
                <w:szCs w:val="18"/>
                <w:u w:val="single"/>
              </w:rPr>
            </w:pPr>
            <w:r>
              <w:rPr>
                <w:rFonts w:hint="eastAsia" w:ascii="宋体" w:hAnsi="宋体" w:cs="Arial"/>
                <w:kern w:val="0"/>
                <w:sz w:val="18"/>
                <w:szCs w:val="18"/>
              </w:rPr>
              <w:t>请投资者在此抄录：</w:t>
            </w:r>
          </w:p>
          <w:p w14:paraId="0AA172A8">
            <w:pPr>
              <w:spacing w:line="280" w:lineRule="atLeast"/>
              <w:jc w:val="left"/>
              <w:rPr>
                <w:kern w:val="0"/>
                <w:sz w:val="18"/>
                <w:szCs w:val="18"/>
                <w:u w:val="single"/>
              </w:rPr>
            </w:pPr>
          </w:p>
          <w:p w14:paraId="6EB8487B">
            <w:pPr>
              <w:spacing w:line="280" w:lineRule="atLeast"/>
              <w:ind w:right="720"/>
              <w:jc w:val="left"/>
              <w:rPr>
                <w:rFonts w:hint="eastAsia" w:ascii="宋体" w:hAnsi="宋体" w:cs="Arial"/>
                <w:kern w:val="0"/>
                <w:sz w:val="18"/>
                <w:szCs w:val="18"/>
                <w:u w:val="single"/>
              </w:rPr>
            </w:pPr>
            <w:r>
              <w:rPr>
                <w:rFonts w:hint="eastAsia" w:ascii="宋体" w:hAnsi="宋体" w:cs="Arial"/>
                <w:kern w:val="0"/>
                <w:sz w:val="18"/>
                <w:szCs w:val="18"/>
              </w:rPr>
              <w:t>投资者签名/线上确认：</w:t>
            </w:r>
          </w:p>
          <w:p w14:paraId="2EC19264">
            <w:pPr>
              <w:spacing w:line="280" w:lineRule="atLeast"/>
              <w:ind w:left="4200" w:firstLine="1080" w:firstLineChars="600"/>
              <w:jc w:val="left"/>
              <w:rPr>
                <w:rFonts w:hint="eastAsia" w:ascii="宋体" w:hAnsi="宋体" w:cs="Arial"/>
                <w:kern w:val="0"/>
                <w:sz w:val="18"/>
                <w:szCs w:val="18"/>
              </w:rPr>
            </w:pPr>
          </w:p>
          <w:p w14:paraId="5319DBF8">
            <w:pPr>
              <w:spacing w:line="280" w:lineRule="atLeast"/>
              <w:ind w:left="4200" w:firstLine="1080" w:firstLineChars="600"/>
              <w:jc w:val="left"/>
              <w:rPr>
                <w:rFonts w:hint="eastAsia" w:ascii="宋体" w:hAnsi="宋体" w:cs="Arial"/>
                <w:kern w:val="0"/>
                <w:sz w:val="18"/>
                <w:szCs w:val="18"/>
              </w:rPr>
            </w:pPr>
            <w:r>
              <w:rPr>
                <w:rFonts w:hint="eastAsia" w:ascii="宋体" w:hAnsi="宋体" w:cs="Arial"/>
                <w:kern w:val="0"/>
                <w:sz w:val="18"/>
                <w:szCs w:val="18"/>
              </w:rPr>
              <w:t>日期：      年    月    日</w:t>
            </w:r>
          </w:p>
          <w:p w14:paraId="2218AA8A">
            <w:pPr>
              <w:spacing w:line="280" w:lineRule="atLeast"/>
              <w:ind w:left="4200" w:firstLine="1080" w:firstLineChars="600"/>
              <w:jc w:val="left"/>
              <w:rPr>
                <w:rFonts w:hint="eastAsia" w:ascii="宋体" w:hAnsi="宋体" w:cs="Arial"/>
                <w:kern w:val="0"/>
                <w:sz w:val="18"/>
                <w:szCs w:val="18"/>
              </w:rPr>
            </w:pPr>
          </w:p>
          <w:p w14:paraId="275323C3">
            <w:pPr>
              <w:spacing w:line="280" w:lineRule="atLeast"/>
              <w:jc w:val="left"/>
              <w:rPr>
                <w:rFonts w:hint="eastAsia"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14:paraId="3B8FA916">
            <w:pPr>
              <w:spacing w:line="280" w:lineRule="atLeast"/>
              <w:jc w:val="right"/>
              <w:rPr>
                <w:rFonts w:hint="eastAsia" w:ascii="宋体" w:hAnsi="宋体"/>
                <w:kern w:val="0"/>
                <w:sz w:val="18"/>
                <w:szCs w:val="18"/>
              </w:rPr>
            </w:pPr>
          </w:p>
        </w:tc>
      </w:tr>
    </w:tbl>
    <w:p w14:paraId="3ECB6E0E">
      <w:pPr>
        <w:autoSpaceDE w:val="0"/>
        <w:autoSpaceDN w:val="0"/>
        <w:adjustRightInd w:val="0"/>
        <w:spacing w:line="360" w:lineRule="auto"/>
        <w:ind w:firstLine="420"/>
        <w:jc w:val="left"/>
        <w:rPr>
          <w:rFonts w:hint="eastAsia" w:ascii="宋体" w:hAnsi="宋体"/>
          <w:sz w:val="24"/>
        </w:rPr>
      </w:pPr>
    </w:p>
    <w:p w14:paraId="1D49D3CC">
      <w:pPr>
        <w:autoSpaceDE w:val="0"/>
        <w:autoSpaceDN w:val="0"/>
        <w:adjustRightInd w:val="0"/>
        <w:spacing w:line="360" w:lineRule="auto"/>
        <w:ind w:firstLine="420"/>
        <w:jc w:val="left"/>
        <w:rPr>
          <w:rFonts w:hint="eastAsia" w:ascii="宋体" w:hAnsi="宋体"/>
          <w:sz w:val="24"/>
        </w:rPr>
      </w:pPr>
    </w:p>
    <w:p w14:paraId="344F023E">
      <w:pPr>
        <w:rPr>
          <w:rFonts w:hint="eastAsia" w:ascii="宋体" w:hAnsi="宋体" w:cs="Arial"/>
          <w:sz w:val="24"/>
        </w:rPr>
      </w:pPr>
    </w:p>
    <w:p w14:paraId="5615C2CA">
      <w:pPr>
        <w:widowControl/>
        <w:jc w:val="left"/>
        <w:rPr>
          <w:rFonts w:hint="eastAsia"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14:paraId="7F46F0C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14:paraId="1BDE970D">
            <w:pPr>
              <w:spacing w:line="280" w:lineRule="atLeast"/>
              <w:jc w:val="center"/>
              <w:rPr>
                <w:rFonts w:hint="eastAsia" w:ascii="宋体" w:hAnsi="宋体" w:cs="Arial"/>
                <w:b/>
                <w:kern w:val="0"/>
                <w:sz w:val="20"/>
                <w:szCs w:val="21"/>
              </w:rPr>
            </w:pPr>
            <w:r>
              <w:rPr>
                <w:rFonts w:hint="eastAsia" w:ascii="宋体" w:hAnsi="宋体" w:cs="Arial"/>
                <w:b/>
                <w:kern w:val="0"/>
                <w:sz w:val="20"/>
                <w:szCs w:val="21"/>
              </w:rPr>
              <w:t>投资者确认栏</w:t>
            </w:r>
          </w:p>
          <w:p w14:paraId="45559521">
            <w:pPr>
              <w:spacing w:line="280" w:lineRule="atLeast"/>
              <w:jc w:val="center"/>
              <w:rPr>
                <w:rFonts w:hint="eastAsia" w:ascii="宋体" w:hAnsi="宋体" w:cs="Arial"/>
                <w:kern w:val="0"/>
                <w:sz w:val="24"/>
                <w:szCs w:val="20"/>
              </w:rPr>
            </w:pPr>
            <w:r>
              <w:rPr>
                <w:rFonts w:hint="eastAsia" w:ascii="宋体" w:hAnsi="宋体" w:cs="Arial"/>
                <w:b/>
                <w:kern w:val="0"/>
                <w:sz w:val="20"/>
                <w:szCs w:val="21"/>
              </w:rPr>
              <w:t>（适用于机构投资者）</w:t>
            </w:r>
          </w:p>
        </w:tc>
      </w:tr>
      <w:tr w14:paraId="6F135DF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14:paraId="5F90ABD5">
            <w:pPr>
              <w:spacing w:line="280" w:lineRule="atLeast"/>
              <w:jc w:val="left"/>
              <w:rPr>
                <w:rFonts w:hint="eastAsia"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14:paraId="4C1CEF9B">
            <w:pPr>
              <w:spacing w:line="280" w:lineRule="atLeast"/>
              <w:ind w:firstLine="360" w:firstLineChars="200"/>
              <w:jc w:val="left"/>
              <w:rPr>
                <w:rFonts w:hint="eastAsia" w:ascii="宋体" w:hAnsi="宋体" w:cs="Arial"/>
                <w:kern w:val="0"/>
                <w:sz w:val="18"/>
                <w:szCs w:val="18"/>
              </w:rPr>
            </w:pPr>
          </w:p>
          <w:p w14:paraId="0D20F65D">
            <w:pPr>
              <w:spacing w:line="280" w:lineRule="atLeast"/>
              <w:jc w:val="left"/>
              <w:rPr>
                <w:rFonts w:hint="eastAsia"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4497F439">
            <w:pPr>
              <w:spacing w:line="280" w:lineRule="atLeast"/>
              <w:ind w:firstLine="360" w:firstLineChars="200"/>
              <w:jc w:val="left"/>
              <w:rPr>
                <w:rFonts w:hint="eastAsia" w:ascii="宋体" w:hAnsi="宋体" w:cs="Arial"/>
                <w:kern w:val="0"/>
                <w:sz w:val="18"/>
                <w:szCs w:val="18"/>
              </w:rPr>
            </w:pPr>
          </w:p>
          <w:p w14:paraId="14810F84">
            <w:pPr>
              <w:spacing w:line="280" w:lineRule="atLeast"/>
              <w:jc w:val="left"/>
              <w:rPr>
                <w:rFonts w:hint="eastAsia"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14:paraId="363D0881">
            <w:pPr>
              <w:spacing w:line="280" w:lineRule="atLeast"/>
              <w:jc w:val="left"/>
              <w:rPr>
                <w:rFonts w:hint="eastAsia" w:ascii="宋体" w:hAnsi="宋体" w:cs="Arial"/>
                <w:kern w:val="0"/>
                <w:sz w:val="18"/>
                <w:szCs w:val="18"/>
              </w:rPr>
            </w:pPr>
          </w:p>
          <w:p w14:paraId="5E7C16A0">
            <w:pPr>
              <w:spacing w:line="280" w:lineRule="atLeast"/>
              <w:jc w:val="left"/>
              <w:rPr>
                <w:rFonts w:hint="eastAsia" w:ascii="宋体" w:hAnsi="宋体" w:cs="Arial"/>
                <w:kern w:val="0"/>
                <w:sz w:val="18"/>
                <w:szCs w:val="18"/>
              </w:rPr>
            </w:pPr>
            <w:r>
              <w:rPr>
                <w:rFonts w:hint="eastAsia" w:ascii="宋体" w:hAnsi="宋体" w:cs="Arial"/>
                <w:kern w:val="0"/>
                <w:sz w:val="18"/>
                <w:szCs w:val="18"/>
              </w:rPr>
              <w:t>请投资者在此抄录：</w:t>
            </w:r>
          </w:p>
          <w:p w14:paraId="597CE931">
            <w:pPr>
              <w:spacing w:line="280" w:lineRule="atLeast"/>
              <w:jc w:val="left"/>
              <w:rPr>
                <w:rFonts w:hint="eastAsia" w:ascii="宋体" w:hAnsi="宋体" w:cs="Arial"/>
                <w:kern w:val="0"/>
                <w:sz w:val="18"/>
                <w:szCs w:val="18"/>
              </w:rPr>
            </w:pPr>
          </w:p>
          <w:p w14:paraId="280ADA50">
            <w:pPr>
              <w:spacing w:line="280" w:lineRule="atLeast"/>
              <w:jc w:val="left"/>
              <w:rPr>
                <w:rFonts w:hint="eastAsia" w:ascii="宋体" w:hAnsi="宋体" w:cs="Arial"/>
                <w:kern w:val="0"/>
                <w:sz w:val="18"/>
                <w:szCs w:val="18"/>
              </w:rPr>
            </w:pPr>
            <w:r>
              <w:rPr>
                <w:rFonts w:hint="eastAsia" w:ascii="宋体" w:hAnsi="宋体" w:cs="Arial"/>
                <w:kern w:val="0"/>
                <w:sz w:val="18"/>
                <w:szCs w:val="18"/>
              </w:rPr>
              <w:t>机构投资者（盖章/线上确认）：</w:t>
            </w:r>
          </w:p>
          <w:p w14:paraId="4365FCEA">
            <w:pPr>
              <w:spacing w:line="280" w:lineRule="atLeast"/>
              <w:jc w:val="left"/>
              <w:rPr>
                <w:rFonts w:hint="eastAsia" w:ascii="宋体" w:hAnsi="宋体" w:cs="Arial"/>
                <w:kern w:val="0"/>
                <w:sz w:val="18"/>
                <w:szCs w:val="18"/>
              </w:rPr>
            </w:pPr>
          </w:p>
          <w:p w14:paraId="3AA46C48">
            <w:pPr>
              <w:spacing w:line="280" w:lineRule="atLeast"/>
              <w:jc w:val="left"/>
              <w:rPr>
                <w:rFonts w:hint="eastAsia"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w:t>
            </w:r>
            <w:r>
              <w:rPr>
                <w:rFonts w:ascii="宋体" w:hAnsi="宋体" w:cs="Arial"/>
                <w:kern w:val="0"/>
                <w:sz w:val="18"/>
                <w:szCs w:val="18"/>
              </w:rPr>
              <w:t>签名</w:t>
            </w:r>
            <w:r>
              <w:rPr>
                <w:rFonts w:hint="eastAsia" w:ascii="宋体" w:hAnsi="宋体" w:cs="Arial"/>
                <w:kern w:val="0"/>
                <w:sz w:val="18"/>
                <w:szCs w:val="18"/>
              </w:rPr>
              <w:t>/盖章/线上确认）：</w:t>
            </w:r>
          </w:p>
          <w:p w14:paraId="50DAE6BD">
            <w:pPr>
              <w:spacing w:line="280" w:lineRule="atLeast"/>
              <w:ind w:left="4200" w:firstLine="1080" w:firstLineChars="600"/>
              <w:jc w:val="left"/>
              <w:rPr>
                <w:rFonts w:hint="eastAsia" w:ascii="宋体" w:hAnsi="宋体" w:cs="Arial"/>
                <w:kern w:val="0"/>
                <w:sz w:val="18"/>
                <w:szCs w:val="18"/>
              </w:rPr>
            </w:pPr>
          </w:p>
          <w:p w14:paraId="78D2BFAB">
            <w:pPr>
              <w:spacing w:line="280" w:lineRule="atLeast"/>
              <w:ind w:left="4200" w:firstLine="1080" w:firstLineChars="600"/>
              <w:jc w:val="left"/>
              <w:rPr>
                <w:rFonts w:hint="eastAsia" w:ascii="宋体" w:hAnsi="宋体" w:cs="Arial"/>
                <w:kern w:val="0"/>
                <w:sz w:val="18"/>
                <w:szCs w:val="18"/>
              </w:rPr>
            </w:pPr>
            <w:r>
              <w:rPr>
                <w:rFonts w:hint="eastAsia" w:ascii="宋体" w:hAnsi="宋体" w:cs="Arial"/>
                <w:kern w:val="0"/>
                <w:sz w:val="18"/>
                <w:szCs w:val="18"/>
              </w:rPr>
              <w:t>日期：      年    月    日</w:t>
            </w:r>
          </w:p>
          <w:p w14:paraId="480FE940">
            <w:pPr>
              <w:spacing w:line="280" w:lineRule="atLeast"/>
              <w:rPr>
                <w:kern w:val="0"/>
                <w:sz w:val="20"/>
                <w:szCs w:val="20"/>
              </w:rPr>
            </w:pPr>
          </w:p>
          <w:p w14:paraId="257405E8">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14:paraId="5508878C"/>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32A209">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6AC547F">
                          <w:pPr>
                            <w:pStyle w:val="4"/>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14:paraId="66AC547F">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9A9478">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14:paraId="503E746B">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dit="readOnly" w:enforcement="1" w:cryptProviderType="rsaAES" w:cryptAlgorithmClass="hash" w:cryptAlgorithmType="typeAny" w:cryptAlgorithmSid="14" w:cryptSpinCount="100000" w:hash="+UC5RsJbd5W8xOQZVv5EkaVITbVbVsDloBGbQy9LHxcJu9tKThna+cSAGKn1MiUXmtisxBYr1unMhqmNTA+2fw==" w:salt="2BevSabQeOyOB3hoTCmmmw=="/>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NTljODZlNmMxN2IxODkyNGQ0MzYwYjkyOGU4YWIifQ=="/>
  </w:docVars>
  <w:rsids>
    <w:rsidRoot w:val="00563E8F"/>
    <w:rsid w:val="000124A4"/>
    <w:rsid w:val="00096AC8"/>
    <w:rsid w:val="000A244A"/>
    <w:rsid w:val="000B16F1"/>
    <w:rsid w:val="000B357F"/>
    <w:rsid w:val="000C0733"/>
    <w:rsid w:val="000F0566"/>
    <w:rsid w:val="001104E8"/>
    <w:rsid w:val="00152999"/>
    <w:rsid w:val="001C5047"/>
    <w:rsid w:val="002148AE"/>
    <w:rsid w:val="002354DB"/>
    <w:rsid w:val="00244A54"/>
    <w:rsid w:val="00262560"/>
    <w:rsid w:val="002B4654"/>
    <w:rsid w:val="002B4BDD"/>
    <w:rsid w:val="002B63FC"/>
    <w:rsid w:val="002C2660"/>
    <w:rsid w:val="002C604E"/>
    <w:rsid w:val="002F0B15"/>
    <w:rsid w:val="003047B0"/>
    <w:rsid w:val="00316184"/>
    <w:rsid w:val="00336D3B"/>
    <w:rsid w:val="00346ED2"/>
    <w:rsid w:val="003660B4"/>
    <w:rsid w:val="00374070"/>
    <w:rsid w:val="003A5710"/>
    <w:rsid w:val="003B58DD"/>
    <w:rsid w:val="003E1A68"/>
    <w:rsid w:val="003F1C32"/>
    <w:rsid w:val="003F2AB6"/>
    <w:rsid w:val="00412C30"/>
    <w:rsid w:val="00420D74"/>
    <w:rsid w:val="0045040F"/>
    <w:rsid w:val="00466605"/>
    <w:rsid w:val="004A236B"/>
    <w:rsid w:val="004B4026"/>
    <w:rsid w:val="004C7F5E"/>
    <w:rsid w:val="004E4E14"/>
    <w:rsid w:val="00510BA5"/>
    <w:rsid w:val="00516EF5"/>
    <w:rsid w:val="00526488"/>
    <w:rsid w:val="00527A03"/>
    <w:rsid w:val="00563E8F"/>
    <w:rsid w:val="005804B9"/>
    <w:rsid w:val="005C6FCB"/>
    <w:rsid w:val="005F48BE"/>
    <w:rsid w:val="00631E99"/>
    <w:rsid w:val="00632B9F"/>
    <w:rsid w:val="00640FDE"/>
    <w:rsid w:val="006538E1"/>
    <w:rsid w:val="006B4210"/>
    <w:rsid w:val="006C6208"/>
    <w:rsid w:val="007143CD"/>
    <w:rsid w:val="007145D5"/>
    <w:rsid w:val="0072580D"/>
    <w:rsid w:val="007303F6"/>
    <w:rsid w:val="00732C8C"/>
    <w:rsid w:val="00772C66"/>
    <w:rsid w:val="007A325A"/>
    <w:rsid w:val="007A4C26"/>
    <w:rsid w:val="007B017F"/>
    <w:rsid w:val="007C7189"/>
    <w:rsid w:val="00801C94"/>
    <w:rsid w:val="0080662E"/>
    <w:rsid w:val="00836C1F"/>
    <w:rsid w:val="00894EE6"/>
    <w:rsid w:val="008A707D"/>
    <w:rsid w:val="008C1CE9"/>
    <w:rsid w:val="008D3E86"/>
    <w:rsid w:val="008F2B54"/>
    <w:rsid w:val="00923A09"/>
    <w:rsid w:val="009525B5"/>
    <w:rsid w:val="00955293"/>
    <w:rsid w:val="009713C7"/>
    <w:rsid w:val="00980894"/>
    <w:rsid w:val="00981E5B"/>
    <w:rsid w:val="009B13AF"/>
    <w:rsid w:val="00A151CD"/>
    <w:rsid w:val="00A75F89"/>
    <w:rsid w:val="00A95D0C"/>
    <w:rsid w:val="00AE5AA3"/>
    <w:rsid w:val="00B06267"/>
    <w:rsid w:val="00B07DEF"/>
    <w:rsid w:val="00B35D81"/>
    <w:rsid w:val="00B3723D"/>
    <w:rsid w:val="00B51172"/>
    <w:rsid w:val="00B94B21"/>
    <w:rsid w:val="00BA28C6"/>
    <w:rsid w:val="00BA3CE3"/>
    <w:rsid w:val="00BB095D"/>
    <w:rsid w:val="00BB3A90"/>
    <w:rsid w:val="00BB513F"/>
    <w:rsid w:val="00BC1259"/>
    <w:rsid w:val="00BC2076"/>
    <w:rsid w:val="00BC398E"/>
    <w:rsid w:val="00BD36A3"/>
    <w:rsid w:val="00BE1A3A"/>
    <w:rsid w:val="00C01696"/>
    <w:rsid w:val="00C4233D"/>
    <w:rsid w:val="00C42B5D"/>
    <w:rsid w:val="00CD14C1"/>
    <w:rsid w:val="00CE06D2"/>
    <w:rsid w:val="00D03CCD"/>
    <w:rsid w:val="00D33509"/>
    <w:rsid w:val="00D36659"/>
    <w:rsid w:val="00D46533"/>
    <w:rsid w:val="00D672A2"/>
    <w:rsid w:val="00D91389"/>
    <w:rsid w:val="00DA2C69"/>
    <w:rsid w:val="00DD246D"/>
    <w:rsid w:val="00DD5ABC"/>
    <w:rsid w:val="00DE3630"/>
    <w:rsid w:val="00E04894"/>
    <w:rsid w:val="00E27A39"/>
    <w:rsid w:val="00E504DE"/>
    <w:rsid w:val="00E66F5C"/>
    <w:rsid w:val="00E767F1"/>
    <w:rsid w:val="00E80603"/>
    <w:rsid w:val="00EB34F9"/>
    <w:rsid w:val="00F06CEB"/>
    <w:rsid w:val="00F1747E"/>
    <w:rsid w:val="00F255C3"/>
    <w:rsid w:val="00F34E57"/>
    <w:rsid w:val="00F54E02"/>
    <w:rsid w:val="00F57B20"/>
    <w:rsid w:val="00F8077D"/>
    <w:rsid w:val="00FC2238"/>
    <w:rsid w:val="00FD7473"/>
    <w:rsid w:val="09B56D79"/>
    <w:rsid w:val="0DA65131"/>
    <w:rsid w:val="0E20418F"/>
    <w:rsid w:val="0FFF1FE3"/>
    <w:rsid w:val="162937E8"/>
    <w:rsid w:val="162E3D0C"/>
    <w:rsid w:val="171B4C2E"/>
    <w:rsid w:val="17DD0DD6"/>
    <w:rsid w:val="191320EA"/>
    <w:rsid w:val="19F75C96"/>
    <w:rsid w:val="1D9858FD"/>
    <w:rsid w:val="23024B39"/>
    <w:rsid w:val="29FB641F"/>
    <w:rsid w:val="2CB06F8B"/>
    <w:rsid w:val="2E117587"/>
    <w:rsid w:val="49E41361"/>
    <w:rsid w:val="4CFA15FA"/>
    <w:rsid w:val="53233D30"/>
    <w:rsid w:val="5E7E7FB6"/>
    <w:rsid w:val="601969DF"/>
    <w:rsid w:val="6A646413"/>
    <w:rsid w:val="6E3A25F0"/>
    <w:rsid w:val="70330189"/>
    <w:rsid w:val="77922ECC"/>
    <w:rsid w:val="7A7571B4"/>
    <w:rsid w:val="7C166D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style>
  <w:style w:type="paragraph" w:styleId="3">
    <w:name w:val="Balloon Text"/>
    <w:basedOn w:val="1"/>
    <w:link w:val="17"/>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6"/>
    <w:semiHidden/>
    <w:unhideWhenUsed/>
    <w:qFormat/>
    <w:uiPriority w:val="99"/>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22"/>
    <w:rPr>
      <w:b/>
      <w:bCs/>
    </w:rPr>
  </w:style>
  <w:style w:type="character" w:styleId="11">
    <w:name w:val="annotation reference"/>
    <w:basedOn w:val="9"/>
    <w:unhideWhenUsed/>
    <w:qFormat/>
    <w:uiPriority w:val="99"/>
    <w:rPr>
      <w:sz w:val="21"/>
      <w:szCs w:val="21"/>
    </w:rPr>
  </w:style>
  <w:style w:type="character" w:customStyle="1" w:styleId="12">
    <w:name w:val="页眉 字符"/>
    <w:basedOn w:val="9"/>
    <w:link w:val="5"/>
    <w:qFormat/>
    <w:uiPriority w:val="99"/>
    <w:rPr>
      <w:sz w:val="18"/>
      <w:szCs w:val="18"/>
    </w:rPr>
  </w:style>
  <w:style w:type="character" w:customStyle="1" w:styleId="13">
    <w:name w:val="页脚 字符"/>
    <w:basedOn w:val="9"/>
    <w:link w:val="4"/>
    <w:qFormat/>
    <w:uiPriority w:val="99"/>
    <w:rPr>
      <w:sz w:val="18"/>
      <w:szCs w:val="18"/>
    </w:rPr>
  </w:style>
  <w:style w:type="paragraph" w:styleId="14">
    <w:name w:val="List Paragraph"/>
    <w:basedOn w:val="1"/>
    <w:qFormat/>
    <w:uiPriority w:val="0"/>
    <w:pPr>
      <w:ind w:firstLine="420" w:firstLineChars="200"/>
    </w:pPr>
  </w:style>
  <w:style w:type="character" w:customStyle="1" w:styleId="15">
    <w:name w:val="批注文字 字符"/>
    <w:basedOn w:val="9"/>
    <w:link w:val="2"/>
    <w:qFormat/>
    <w:uiPriority w:val="99"/>
    <w:rPr>
      <w:rFonts w:ascii="Calibri" w:hAnsi="Calibri" w:eastAsia="宋体" w:cs="宋体"/>
    </w:rPr>
  </w:style>
  <w:style w:type="character" w:customStyle="1" w:styleId="16">
    <w:name w:val="批注主题 字符"/>
    <w:basedOn w:val="15"/>
    <w:link w:val="6"/>
    <w:semiHidden/>
    <w:qFormat/>
    <w:uiPriority w:val="99"/>
    <w:rPr>
      <w:rFonts w:ascii="Calibri" w:hAnsi="Calibri" w:eastAsia="宋体" w:cs="宋体"/>
      <w:b/>
      <w:bCs/>
    </w:rPr>
  </w:style>
  <w:style w:type="character" w:customStyle="1" w:styleId="17">
    <w:name w:val="批注框文本 字符"/>
    <w:basedOn w:val="9"/>
    <w:link w:val="3"/>
    <w:semiHidden/>
    <w:qFormat/>
    <w:uiPriority w:val="99"/>
    <w:rPr>
      <w:rFonts w:ascii="Calibri" w:hAnsi="Calibri" w:eastAsia="宋体" w:cs="宋体"/>
      <w:sz w:val="18"/>
      <w:szCs w:val="18"/>
    </w:rPr>
  </w:style>
  <w:style w:type="paragraph" w:customStyle="1" w:styleId="18">
    <w:name w:val="修订1"/>
    <w:hidden/>
    <w:semiHidden/>
    <w:qFormat/>
    <w:uiPriority w:val="99"/>
    <w:rPr>
      <w:rFonts w:ascii="Calibri" w:hAnsi="Calibri" w:eastAsia="宋体" w:cs="宋体"/>
      <w:kern w:val="2"/>
      <w:sz w:val="21"/>
      <w:szCs w:val="22"/>
      <w:lang w:val="en-US" w:eastAsia="zh-CN" w:bidi="ar-SA"/>
    </w:rPr>
  </w:style>
  <w:style w:type="paragraph" w:customStyle="1" w:styleId="19">
    <w:name w:val="修订2"/>
    <w:hidden/>
    <w:semiHidden/>
    <w:qFormat/>
    <w:uiPriority w:val="99"/>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6</Pages>
  <Words>4559</Words>
  <Characters>4631</Characters>
  <Lines>34</Lines>
  <Paragraphs>9</Paragraphs>
  <TotalTime>2</TotalTime>
  <ScaleCrop>false</ScaleCrop>
  <LinksUpToDate>false</LinksUpToDate>
  <CharactersWithSpaces>4719</CharactersWithSpaces>
  <Application>WPS Office_12.1.0.20784_F1E327BC-269C-435d-A152-05C5408002CA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2021-06-16T13:02:00Z</dcterms:created>
  <dc:creator>胡骁潇</dc:creator>
  <cp:lastModifiedBy>滴滴哒</cp:lastModifiedBy>
  <dcterms:modified xsi:type="dcterms:W3CDTF">2025-04-29T06:00:04Z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8C3451F4A9D547188BD69B541900499D</vt:lpwstr>
  </property>
  <property fmtid="{D5CDD505-2E9C-101B-9397-08002B2CF9AE}" pid="4" name="KSOTemplateDocerSaveRecord">
    <vt:lpwstr>eyJoZGlkIjoiMjg4YmYzNWQ0OTJiYmI4MDkxZWVhMTQxYzZkMjUzYTEiLCJ1c2VySWQiOiIyNDkwMDI2NTYifQ==</vt:lpwstr>
  </property>
</Properties>
</file>