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FZSSK--GBK1-0"/>
          <w:b/>
          <w:bCs/>
          <w:color w:val="auto"/>
          <w:kern w:val="0"/>
          <w:sz w:val="28"/>
          <w:szCs w:val="28"/>
        </w:rPr>
      </w:pPr>
      <w:r>
        <w:rPr>
          <w:rFonts w:hint="eastAsia" w:ascii="仿宋" w:hAnsi="仿宋" w:eastAsia="仿宋" w:cs="FZSSK--GBK1-0"/>
          <w:b/>
          <w:bCs/>
          <w:color w:val="auto"/>
          <w:kern w:val="0"/>
          <w:sz w:val="28"/>
          <w:szCs w:val="28"/>
        </w:rPr>
        <w:t>招银理财有限责任公司理财产品投资者权益须知</w:t>
      </w:r>
    </w:p>
    <w:p>
      <w:pPr>
        <w:jc w:val="center"/>
        <w:rPr>
          <w:rFonts w:ascii="仿宋" w:hAnsi="仿宋" w:eastAsia="仿宋" w:cs="FZSSK--GBK1-0"/>
          <w:bCs/>
          <w:color w:val="auto"/>
          <w:kern w:val="0"/>
          <w:sz w:val="28"/>
          <w:szCs w:val="28"/>
        </w:rPr>
      </w:pPr>
      <w:r>
        <w:rPr>
          <w:rFonts w:hint="eastAsia" w:ascii="仿宋" w:hAnsi="仿宋" w:eastAsia="仿宋" w:cs="FZSSK--GBK1-0"/>
          <w:bCs/>
          <w:color w:val="auto"/>
          <w:kern w:val="0"/>
          <w:sz w:val="28"/>
          <w:szCs w:val="28"/>
        </w:rPr>
        <w:t>（适用于个人投资者）</w:t>
      </w:r>
    </w:p>
    <w:p>
      <w:pPr>
        <w:spacing w:line="300" w:lineRule="auto"/>
        <w:ind w:right="688"/>
        <w:rPr>
          <w:rFonts w:ascii="仿宋" w:hAnsi="仿宋" w:eastAsia="仿宋"/>
          <w:color w:val="auto"/>
          <w:sz w:val="28"/>
          <w:szCs w:val="28"/>
        </w:rPr>
      </w:pPr>
      <w:r>
        <w:rPr>
          <w:rFonts w:hint="eastAsia" w:ascii="仿宋" w:hAnsi="仿宋" w:eastAsia="仿宋"/>
          <w:color w:val="auto"/>
          <w:sz w:val="28"/>
          <w:szCs w:val="28"/>
        </w:rPr>
        <w:t>尊敬的投资者：</w:t>
      </w:r>
    </w:p>
    <w:p>
      <w:pPr>
        <w:spacing w:line="300" w:lineRule="auto"/>
        <w:ind w:right="686" w:firstLine="560" w:firstLineChars="200"/>
        <w:rPr>
          <w:rFonts w:ascii="仿宋" w:hAnsi="仿宋" w:eastAsia="仿宋"/>
          <w:color w:val="auto"/>
          <w:sz w:val="28"/>
          <w:szCs w:val="28"/>
        </w:rPr>
      </w:pPr>
      <w:r>
        <w:rPr>
          <w:rFonts w:hint="eastAsia" w:ascii="仿宋" w:hAnsi="仿宋" w:eastAsia="仿宋"/>
          <w:color w:val="auto"/>
          <w:sz w:val="28"/>
          <w:szCs w:val="28"/>
        </w:rPr>
        <w:t>理财非存款、产品有风险、投资须谨慎。</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rPr>
        <w:t>招银理财有限责任公司（以下</w:t>
      </w:r>
      <w:r>
        <w:rPr>
          <w:rFonts w:ascii="仿宋" w:hAnsi="仿宋" w:eastAsia="仿宋"/>
          <w:color w:val="auto"/>
          <w:sz w:val="28"/>
          <w:szCs w:val="28"/>
        </w:rPr>
        <w:t>简称“</w:t>
      </w:r>
      <w:r>
        <w:rPr>
          <w:rFonts w:hint="eastAsia" w:ascii="仿宋" w:hAnsi="仿宋" w:eastAsia="仿宋"/>
          <w:color w:val="auto"/>
          <w:sz w:val="28"/>
          <w:szCs w:val="28"/>
        </w:rPr>
        <w:t>招银理财</w:t>
      </w:r>
      <w:r>
        <w:rPr>
          <w:rFonts w:ascii="仿宋" w:hAnsi="仿宋" w:eastAsia="仿宋"/>
          <w:color w:val="auto"/>
          <w:sz w:val="28"/>
          <w:szCs w:val="28"/>
        </w:rPr>
        <w:t>”</w:t>
      </w:r>
      <w:r>
        <w:rPr>
          <w:rFonts w:hint="eastAsia" w:ascii="仿宋" w:hAnsi="仿宋" w:eastAsia="仿宋"/>
          <w:color w:val="auto"/>
          <w:sz w:val="28"/>
          <w:szCs w:val="28"/>
        </w:rPr>
        <w:t>）发行的本理财产品由销售服务机构</w:t>
      </w:r>
      <w:r>
        <w:rPr>
          <w:rFonts w:hint="default" w:ascii="仿宋" w:hAnsi="仿宋" w:eastAsia="仿宋"/>
          <w:color w:val="auto"/>
          <w:sz w:val="28"/>
          <w:szCs w:val="28"/>
          <w:highlight w:val="none"/>
        </w:rPr>
        <w:t>华夏银行股份有限公司</w:t>
      </w:r>
      <w:r>
        <w:rPr>
          <w:rFonts w:ascii="仿宋" w:hAnsi="仿宋" w:eastAsia="仿宋"/>
          <w:color w:val="auto"/>
          <w:sz w:val="28"/>
          <w:szCs w:val="28"/>
          <w:highlight w:val="none"/>
        </w:rPr>
        <w:t>（</w:t>
      </w:r>
      <w:r>
        <w:rPr>
          <w:rFonts w:hint="eastAsia" w:ascii="仿宋" w:hAnsi="仿宋" w:eastAsia="仿宋"/>
          <w:color w:val="auto"/>
          <w:sz w:val="28"/>
          <w:szCs w:val="28"/>
          <w:highlight w:val="none"/>
        </w:rPr>
        <w:t>以下</w:t>
      </w:r>
      <w:r>
        <w:rPr>
          <w:rFonts w:ascii="仿宋" w:hAnsi="仿宋" w:eastAsia="仿宋"/>
          <w:color w:val="auto"/>
          <w:sz w:val="28"/>
          <w:szCs w:val="28"/>
          <w:highlight w:val="none"/>
        </w:rPr>
        <w:t>简称“</w:t>
      </w:r>
      <w:r>
        <w:rPr>
          <w:rFonts w:hint="default" w:ascii="仿宋" w:hAnsi="仿宋" w:eastAsia="仿宋"/>
          <w:color w:val="auto"/>
          <w:sz w:val="28"/>
          <w:szCs w:val="28"/>
          <w:highlight w:val="none"/>
        </w:rPr>
        <w:t>华夏银行</w:t>
      </w:r>
      <w:r>
        <w:rPr>
          <w:rFonts w:ascii="仿宋" w:hAnsi="仿宋" w:eastAsia="仿宋"/>
          <w:color w:val="auto"/>
          <w:sz w:val="28"/>
          <w:szCs w:val="28"/>
          <w:highlight w:val="none"/>
        </w:rPr>
        <w:t>”）</w:t>
      </w:r>
      <w:r>
        <w:rPr>
          <w:rFonts w:hint="eastAsia" w:ascii="仿宋" w:hAnsi="仿宋" w:eastAsia="仿宋"/>
          <w:color w:val="auto"/>
          <w:sz w:val="28"/>
          <w:szCs w:val="28"/>
        </w:rPr>
        <w:t>代理销售，与存款存在明显区别，在获取收益的同时存在一定的风险。为了保护您的合法权益，请在投资前认真阅读以下内容并建议您据此进行投资：</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rPr>
        <w:t>首先，请在投资理财产品前，通过</w:t>
      </w:r>
      <w:r>
        <w:rPr>
          <w:rFonts w:hint="default" w:ascii="仿宋" w:hAnsi="仿宋" w:eastAsia="仿宋"/>
          <w:color w:val="auto"/>
          <w:sz w:val="28"/>
          <w:szCs w:val="28"/>
        </w:rPr>
        <w:t>华夏银行</w:t>
      </w:r>
      <w:r>
        <w:rPr>
          <w:rFonts w:hint="eastAsia" w:ascii="仿宋" w:hAnsi="仿宋" w:eastAsia="仿宋"/>
          <w:color w:val="auto"/>
          <w:sz w:val="28"/>
          <w:szCs w:val="28"/>
        </w:rPr>
        <w:t>为您设计的个人风险承受能力评估流程，了解您的投资目标、风险偏好和产品需求。首次购买理财产品前必须在</w:t>
      </w:r>
      <w:r>
        <w:rPr>
          <w:rFonts w:hint="default" w:ascii="仿宋" w:hAnsi="仿宋" w:eastAsia="仿宋"/>
          <w:color w:val="auto"/>
          <w:sz w:val="28"/>
          <w:szCs w:val="28"/>
          <w:highlight w:val="none"/>
        </w:rPr>
        <w:t>华夏银行</w:t>
      </w:r>
      <w:r>
        <w:rPr>
          <w:rFonts w:hint="eastAsia" w:ascii="仿宋" w:hAnsi="仿宋" w:eastAsia="仿宋"/>
          <w:color w:val="auto"/>
          <w:sz w:val="28"/>
          <w:szCs w:val="28"/>
        </w:rPr>
        <w:t>的网上银行、手机银行、电话银行或可视柜台等销售渠道进行风险承受能力评估。</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rPr>
        <w:t>其次，请认真阅读理财产品的相关销售文件，具体为《理财产品销售协议书》、《产品说明书》、《风险揭示书》和本《投资者权益须知》等，然后选择购买与您自身风险承受能力相匹配的产品。您在阅读时如有不明之处，可及时向</w:t>
      </w:r>
      <w:r>
        <w:rPr>
          <w:rFonts w:hint="default" w:ascii="仿宋" w:hAnsi="仿宋" w:eastAsia="仿宋"/>
          <w:color w:val="auto"/>
          <w:sz w:val="28"/>
          <w:szCs w:val="28"/>
          <w:highlight w:val="none"/>
        </w:rPr>
        <w:t>华夏银行</w:t>
      </w:r>
      <w:r>
        <w:rPr>
          <w:rFonts w:hint="eastAsia" w:ascii="仿宋" w:hAnsi="仿宋" w:eastAsia="仿宋"/>
          <w:color w:val="auto"/>
          <w:sz w:val="28"/>
          <w:szCs w:val="28"/>
        </w:rPr>
        <w:t>理财人员进行咨询。</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rPr>
        <w:t>最后，请关注</w:t>
      </w:r>
      <w:r>
        <w:rPr>
          <w:rFonts w:hint="default" w:ascii="仿宋" w:hAnsi="仿宋" w:eastAsia="仿宋"/>
          <w:color w:val="auto"/>
          <w:sz w:val="28"/>
          <w:szCs w:val="28"/>
          <w:highlight w:val="none"/>
        </w:rPr>
        <w:t>华夏银行</w:t>
      </w:r>
      <w:r>
        <w:rPr>
          <w:rFonts w:hint="eastAsia" w:ascii="仿宋" w:hAnsi="仿宋" w:eastAsia="仿宋"/>
          <w:color w:val="auto"/>
          <w:sz w:val="28"/>
          <w:szCs w:val="28"/>
        </w:rPr>
        <w:t>或招银理财对理财产品的信息披露方式、渠道与频率以及相关联络方式，当您对所购买的理财产品有任何异议或意见时请及时反馈。我们将以诚实守信、勤勉尽责的态度竭诚为您提供专业的服务。</w:t>
      </w:r>
    </w:p>
    <w:p>
      <w:pPr>
        <w:widowControl/>
        <w:spacing w:line="360" w:lineRule="auto"/>
        <w:ind w:firstLine="600"/>
        <w:rPr>
          <w:rFonts w:ascii="仿宋" w:hAnsi="仿宋" w:eastAsia="仿宋"/>
          <w:color w:val="auto"/>
          <w:sz w:val="28"/>
          <w:szCs w:val="28"/>
        </w:rPr>
      </w:pPr>
    </w:p>
    <w:p>
      <w:pPr>
        <w:pStyle w:val="18"/>
        <w:numPr>
          <w:ilvl w:val="0"/>
          <w:numId w:val="1"/>
        </w:numPr>
        <w:spacing w:before="30" w:line="298" w:lineRule="auto"/>
        <w:ind w:left="567" w:right="1503" w:hanging="567" w:firstLineChars="0"/>
        <w:rPr>
          <w:rFonts w:ascii="仿宋" w:hAnsi="仿宋" w:eastAsia="仿宋"/>
          <w:b/>
          <w:color w:val="auto"/>
          <w:sz w:val="28"/>
          <w:szCs w:val="28"/>
        </w:rPr>
      </w:pPr>
      <w:r>
        <w:rPr>
          <w:rFonts w:hint="eastAsia" w:ascii="仿宋" w:hAnsi="仿宋" w:eastAsia="仿宋"/>
          <w:b/>
          <w:color w:val="auto"/>
          <w:sz w:val="28"/>
          <w:szCs w:val="28"/>
        </w:rPr>
        <w:t>购买理财产品三步曲：</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rPr>
        <w:t>第一步</w:t>
      </w:r>
      <w:r>
        <w:rPr>
          <w:rFonts w:ascii="仿宋" w:hAnsi="仿宋" w:eastAsia="仿宋"/>
          <w:color w:val="auto"/>
          <w:sz w:val="28"/>
          <w:szCs w:val="28"/>
        </w:rPr>
        <w:t xml:space="preserve"> </w:t>
      </w:r>
      <w:r>
        <w:rPr>
          <w:rFonts w:hint="eastAsia" w:ascii="仿宋" w:hAnsi="仿宋" w:eastAsia="仿宋"/>
          <w:color w:val="auto"/>
          <w:sz w:val="28"/>
          <w:szCs w:val="28"/>
        </w:rPr>
        <w:t>了解您的投资需求和风险承受能力</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rPr>
        <w:t>根据《商业</w:t>
      </w:r>
      <w:r>
        <w:rPr>
          <w:rFonts w:ascii="仿宋" w:hAnsi="仿宋" w:eastAsia="仿宋"/>
          <w:color w:val="auto"/>
          <w:sz w:val="28"/>
          <w:szCs w:val="28"/>
        </w:rPr>
        <w:t>银行理财子公司管理办法</w:t>
      </w:r>
      <w:r>
        <w:rPr>
          <w:rFonts w:hint="eastAsia" w:ascii="仿宋" w:hAnsi="仿宋" w:eastAsia="仿宋"/>
          <w:color w:val="auto"/>
          <w:sz w:val="28"/>
          <w:szCs w:val="28"/>
        </w:rPr>
        <w:t>》、《商业银行理财业务监督管理办法》要求，</w:t>
      </w:r>
      <w:r>
        <w:rPr>
          <w:rFonts w:hint="default" w:ascii="仿宋" w:hAnsi="仿宋" w:eastAsia="仿宋"/>
          <w:color w:val="auto"/>
          <w:sz w:val="28"/>
          <w:szCs w:val="28"/>
          <w:highlight w:val="none"/>
        </w:rPr>
        <w:t>华夏银行</w:t>
      </w:r>
      <w:r>
        <w:rPr>
          <w:rFonts w:hint="eastAsia" w:ascii="仿宋" w:hAnsi="仿宋" w:eastAsia="仿宋"/>
          <w:color w:val="auto"/>
          <w:sz w:val="28"/>
          <w:szCs w:val="28"/>
        </w:rPr>
        <w:t>在非机构客户投资理财产品前，必须对非机构客户的风险承受能力进行评估，以保障非机构客户购买的理财产品与其风险承受能力相匹配。</w:t>
      </w:r>
      <w:r>
        <w:rPr>
          <w:rFonts w:hint="default" w:ascii="仿宋" w:hAnsi="仿宋" w:eastAsia="仿宋"/>
          <w:color w:val="auto"/>
          <w:sz w:val="28"/>
          <w:szCs w:val="28"/>
          <w:highlight w:val="none"/>
        </w:rPr>
        <w:t>华夏银行</w:t>
      </w:r>
      <w:r>
        <w:rPr>
          <w:rFonts w:hint="eastAsia" w:ascii="仿宋" w:hAnsi="仿宋" w:eastAsia="仿宋"/>
          <w:color w:val="auto"/>
          <w:sz w:val="28"/>
          <w:szCs w:val="28"/>
        </w:rPr>
        <w:t>将从非机构客户年龄、财务状况、投资经验、投资目的、收益预期、风险偏好、流动性要求、风险认识以及风险损失承受程度等方面，协助您全面了解您的投资需求和您的风险承受能力，帮助您选择适合自己风险承受能力的理财产品。</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highlight w:val="none"/>
        </w:rPr>
        <w:t>招银理财的理财产品分为公募理财产品和私募理财产品。根据客户的不同情况，</w:t>
      </w:r>
      <w:r>
        <w:rPr>
          <w:rFonts w:hint="default" w:ascii="仿宋" w:hAnsi="仿宋" w:eastAsia="仿宋"/>
          <w:color w:val="auto"/>
          <w:sz w:val="28"/>
          <w:szCs w:val="28"/>
          <w:highlight w:val="none"/>
        </w:rPr>
        <w:t>华夏银行</w:t>
      </w:r>
      <w:r>
        <w:rPr>
          <w:rFonts w:hint="eastAsia" w:ascii="仿宋" w:hAnsi="仿宋" w:eastAsia="仿宋"/>
          <w:color w:val="auto"/>
          <w:sz w:val="28"/>
          <w:szCs w:val="28"/>
          <w:highlight w:val="none"/>
        </w:rPr>
        <w:t>将客户风险承受能力分为C</w:t>
      </w:r>
      <w:r>
        <w:rPr>
          <w:rFonts w:hint="default" w:ascii="仿宋" w:hAnsi="仿宋" w:eastAsia="仿宋"/>
          <w:color w:val="auto"/>
          <w:sz w:val="28"/>
          <w:szCs w:val="28"/>
          <w:highlight w:val="none"/>
        </w:rPr>
        <w:t>R</w:t>
      </w:r>
      <w:r>
        <w:rPr>
          <w:rFonts w:hint="eastAsia" w:ascii="仿宋" w:hAnsi="仿宋" w:eastAsia="仿宋"/>
          <w:color w:val="auto"/>
          <w:sz w:val="28"/>
          <w:szCs w:val="28"/>
          <w:highlight w:val="none"/>
        </w:rPr>
        <w:t>1</w:t>
      </w:r>
      <w:r>
        <w:rPr>
          <w:rFonts w:hint="eastAsia" w:ascii="仿宋" w:hAnsi="仿宋" w:eastAsia="仿宋"/>
          <w:color w:val="auto"/>
          <w:sz w:val="28"/>
          <w:szCs w:val="28"/>
          <w:highlight w:val="none"/>
          <w:lang w:val="en-US" w:eastAsia="zh-Hans"/>
        </w:rPr>
        <w:t>谨慎</w:t>
      </w:r>
      <w:r>
        <w:rPr>
          <w:rFonts w:hint="eastAsia" w:ascii="仿宋" w:hAnsi="仿宋" w:eastAsia="仿宋"/>
          <w:color w:val="auto"/>
          <w:sz w:val="28"/>
          <w:szCs w:val="28"/>
          <w:highlight w:val="none"/>
        </w:rPr>
        <w:t>型、C</w:t>
      </w:r>
      <w:r>
        <w:rPr>
          <w:rFonts w:hint="default" w:ascii="仿宋" w:hAnsi="仿宋" w:eastAsia="仿宋"/>
          <w:color w:val="auto"/>
          <w:sz w:val="28"/>
          <w:szCs w:val="28"/>
          <w:highlight w:val="none"/>
        </w:rPr>
        <w:t>R</w:t>
      </w:r>
      <w:r>
        <w:rPr>
          <w:rFonts w:hint="eastAsia" w:ascii="仿宋" w:hAnsi="仿宋" w:eastAsia="仿宋"/>
          <w:color w:val="auto"/>
          <w:sz w:val="28"/>
          <w:szCs w:val="28"/>
          <w:highlight w:val="none"/>
        </w:rPr>
        <w:t>2稳健型、C</w:t>
      </w:r>
      <w:r>
        <w:rPr>
          <w:rFonts w:hint="default" w:ascii="仿宋" w:hAnsi="仿宋" w:eastAsia="仿宋"/>
          <w:color w:val="auto"/>
          <w:sz w:val="28"/>
          <w:szCs w:val="28"/>
          <w:highlight w:val="none"/>
        </w:rPr>
        <w:t>R</w:t>
      </w:r>
      <w:r>
        <w:rPr>
          <w:rFonts w:hint="eastAsia" w:ascii="仿宋" w:hAnsi="仿宋" w:eastAsia="仿宋"/>
          <w:color w:val="auto"/>
          <w:sz w:val="28"/>
          <w:szCs w:val="28"/>
          <w:highlight w:val="none"/>
        </w:rPr>
        <w:t>3平衡型、C</w:t>
      </w:r>
      <w:r>
        <w:rPr>
          <w:rFonts w:hint="default" w:ascii="仿宋" w:hAnsi="仿宋" w:eastAsia="仿宋"/>
          <w:color w:val="auto"/>
          <w:sz w:val="28"/>
          <w:szCs w:val="28"/>
          <w:highlight w:val="none"/>
        </w:rPr>
        <w:t>R</w:t>
      </w:r>
      <w:r>
        <w:rPr>
          <w:rFonts w:hint="eastAsia" w:ascii="仿宋" w:hAnsi="仿宋" w:eastAsia="仿宋"/>
          <w:color w:val="auto"/>
          <w:sz w:val="28"/>
          <w:szCs w:val="28"/>
          <w:highlight w:val="none"/>
        </w:rPr>
        <w:t>4</w:t>
      </w:r>
      <w:r>
        <w:rPr>
          <w:rFonts w:hint="eastAsia" w:ascii="仿宋" w:hAnsi="仿宋" w:eastAsia="仿宋"/>
          <w:color w:val="auto"/>
          <w:sz w:val="28"/>
          <w:szCs w:val="28"/>
          <w:highlight w:val="none"/>
          <w:lang w:val="en-US" w:eastAsia="zh-Hans"/>
        </w:rPr>
        <w:t>进取</w:t>
      </w:r>
      <w:r>
        <w:rPr>
          <w:rFonts w:hint="eastAsia" w:ascii="仿宋" w:hAnsi="仿宋" w:eastAsia="仿宋"/>
          <w:color w:val="auto"/>
          <w:sz w:val="28"/>
          <w:szCs w:val="28"/>
          <w:highlight w:val="none"/>
        </w:rPr>
        <w:t>型、C</w:t>
      </w:r>
      <w:r>
        <w:rPr>
          <w:rFonts w:hint="default" w:ascii="仿宋" w:hAnsi="仿宋" w:eastAsia="仿宋"/>
          <w:color w:val="auto"/>
          <w:sz w:val="28"/>
          <w:szCs w:val="28"/>
          <w:highlight w:val="none"/>
        </w:rPr>
        <w:t>R</w:t>
      </w:r>
      <w:r>
        <w:rPr>
          <w:rFonts w:hint="eastAsia" w:ascii="仿宋" w:hAnsi="仿宋" w:eastAsia="仿宋"/>
          <w:color w:val="auto"/>
          <w:sz w:val="28"/>
          <w:szCs w:val="28"/>
          <w:highlight w:val="none"/>
        </w:rPr>
        <w:t>5</w:t>
      </w:r>
      <w:r>
        <w:rPr>
          <w:rFonts w:hint="eastAsia" w:ascii="仿宋" w:hAnsi="仿宋" w:eastAsia="仿宋"/>
          <w:color w:val="auto"/>
          <w:sz w:val="28"/>
          <w:szCs w:val="28"/>
          <w:highlight w:val="none"/>
          <w:lang w:val="en-US" w:eastAsia="zh-Hans"/>
        </w:rPr>
        <w:t>激进</w:t>
      </w:r>
      <w:r>
        <w:rPr>
          <w:rFonts w:hint="eastAsia" w:ascii="仿宋" w:hAnsi="仿宋" w:eastAsia="仿宋"/>
          <w:color w:val="auto"/>
          <w:sz w:val="28"/>
          <w:szCs w:val="28"/>
          <w:highlight w:val="none"/>
        </w:rPr>
        <w:t>型五个等级。与此同时，根据理财产品投资范围、风险收益特点、流动性等不同因素，招银理财发行的理财产品分为低风险产品、中低风险产品、中风险产品、中</w:t>
      </w:r>
      <w:r>
        <w:rPr>
          <w:rFonts w:hint="eastAsia" w:ascii="仿宋" w:hAnsi="仿宋" w:eastAsia="仿宋"/>
          <w:color w:val="auto"/>
          <w:sz w:val="28"/>
          <w:szCs w:val="28"/>
        </w:rPr>
        <w:t>高风险产品、高风险产品等五个风险等级。</w:t>
      </w:r>
    </w:p>
    <w:p>
      <w:pPr>
        <w:widowControl/>
        <w:spacing w:line="360" w:lineRule="auto"/>
        <w:ind w:firstLine="600"/>
        <w:rPr>
          <w:rFonts w:ascii="仿宋" w:hAnsi="仿宋" w:eastAsia="仿宋"/>
          <w:color w:val="auto"/>
          <w:sz w:val="28"/>
          <w:szCs w:val="28"/>
        </w:rPr>
      </w:pPr>
      <w:r>
        <w:rPr>
          <w:rFonts w:hint="default" w:ascii="仿宋" w:hAnsi="仿宋" w:eastAsia="仿宋"/>
          <w:color w:val="auto"/>
          <w:sz w:val="28"/>
          <w:szCs w:val="28"/>
          <w:highlight w:val="none"/>
        </w:rPr>
        <w:t>华夏银行</w:t>
      </w:r>
      <w:r>
        <w:rPr>
          <w:rFonts w:hint="eastAsia" w:ascii="仿宋" w:hAnsi="仿宋" w:eastAsia="仿宋"/>
          <w:color w:val="auto"/>
          <w:sz w:val="28"/>
          <w:szCs w:val="28"/>
        </w:rPr>
        <w:t>根据风险匹配原则，在客户风险承受能力等级和产品风险等级之间建立如下对应关系，建议您根据自身情况，选择适合自己风险承受能力的理财产品，详见下表：</w:t>
      </w:r>
    </w:p>
    <w:tbl>
      <w:tblPr>
        <w:tblStyle w:val="8"/>
        <w:tblpPr w:leftFromText="180" w:rightFromText="180" w:vertAnchor="text" w:horzAnchor="margin" w:tblpY="112"/>
        <w:tblW w:w="861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65"/>
        <w:gridCol w:w="4394"/>
        <w:gridCol w:w="26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565" w:type="dxa"/>
            <w:vAlign w:val="center"/>
          </w:tcPr>
          <w:p>
            <w:pPr>
              <w:pStyle w:val="15"/>
              <w:spacing w:line="298" w:lineRule="auto"/>
              <w:ind w:left="105"/>
              <w:jc w:val="both"/>
              <w:rPr>
                <w:rFonts w:ascii="仿宋" w:hAnsi="仿宋" w:eastAsia="仿宋" w:cs="Times New Roman"/>
                <w:color w:val="auto"/>
              </w:rPr>
            </w:pPr>
            <w:r>
              <w:rPr>
                <w:rFonts w:ascii="仿宋" w:hAnsi="仿宋" w:eastAsia="仿宋" w:cs="Times New Roman"/>
                <w:color w:val="auto"/>
              </w:rPr>
              <w:t>客户类型</w:t>
            </w:r>
          </w:p>
        </w:tc>
        <w:tc>
          <w:tcPr>
            <w:tcW w:w="4394" w:type="dxa"/>
            <w:vAlign w:val="center"/>
          </w:tcPr>
          <w:p>
            <w:pPr>
              <w:pStyle w:val="15"/>
              <w:spacing w:line="298" w:lineRule="auto"/>
              <w:ind w:left="1512" w:right="1512"/>
              <w:jc w:val="both"/>
              <w:rPr>
                <w:rFonts w:ascii="仿宋" w:hAnsi="仿宋" w:eastAsia="仿宋" w:cs="Times New Roman"/>
                <w:color w:val="auto"/>
              </w:rPr>
            </w:pPr>
            <w:r>
              <w:rPr>
                <w:rFonts w:ascii="仿宋" w:hAnsi="仿宋" w:eastAsia="仿宋" w:cs="Times New Roman"/>
                <w:color w:val="auto"/>
              </w:rPr>
              <w:t>风险特征描述</w:t>
            </w:r>
          </w:p>
        </w:tc>
        <w:tc>
          <w:tcPr>
            <w:tcW w:w="2657" w:type="dxa"/>
            <w:vAlign w:val="center"/>
          </w:tcPr>
          <w:p>
            <w:pPr>
              <w:pStyle w:val="15"/>
              <w:spacing w:line="298" w:lineRule="auto"/>
              <w:ind w:left="306" w:right="306"/>
              <w:jc w:val="both"/>
              <w:rPr>
                <w:rFonts w:ascii="仿宋" w:hAnsi="仿宋" w:eastAsia="仿宋" w:cs="Times New Roman"/>
                <w:color w:val="auto"/>
              </w:rPr>
            </w:pPr>
            <w:r>
              <w:rPr>
                <w:rFonts w:ascii="仿宋" w:hAnsi="仿宋" w:eastAsia="仿宋" w:cs="Times New Roman"/>
                <w:color w:val="auto"/>
              </w:rPr>
              <w:t>适合的产品类型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565" w:type="dxa"/>
            <w:vAlign w:val="center"/>
          </w:tcPr>
          <w:p>
            <w:pPr>
              <w:pStyle w:val="15"/>
              <w:spacing w:line="252" w:lineRule="exact"/>
              <w:ind w:right="-22"/>
              <w:jc w:val="both"/>
              <w:rPr>
                <w:rFonts w:ascii="仿宋" w:hAnsi="仿宋" w:eastAsia="仿宋" w:cs="Times New Roman"/>
                <w:color w:val="auto"/>
                <w:sz w:val="20"/>
                <w:szCs w:val="20"/>
              </w:rPr>
            </w:pPr>
            <w:r>
              <w:rPr>
                <w:rFonts w:hint="eastAsia" w:ascii="仿宋" w:hAnsi="仿宋" w:eastAsia="仿宋"/>
                <w:color w:val="auto"/>
                <w:sz w:val="28"/>
                <w:szCs w:val="28"/>
              </w:rPr>
              <w:t>C</w:t>
            </w:r>
            <w:r>
              <w:rPr>
                <w:rFonts w:hint="default" w:ascii="仿宋" w:hAnsi="仿宋" w:eastAsia="仿宋"/>
                <w:color w:val="auto"/>
                <w:sz w:val="28"/>
                <w:szCs w:val="28"/>
              </w:rPr>
              <w:t>R</w:t>
            </w:r>
            <w:r>
              <w:rPr>
                <w:rFonts w:hint="eastAsia" w:ascii="仿宋" w:hAnsi="仿宋" w:eastAsia="仿宋"/>
                <w:color w:val="auto"/>
                <w:sz w:val="28"/>
                <w:szCs w:val="28"/>
              </w:rPr>
              <w:t>1</w:t>
            </w:r>
            <w:r>
              <w:rPr>
                <w:rFonts w:hint="eastAsia" w:ascii="仿宋" w:hAnsi="仿宋" w:eastAsia="仿宋"/>
                <w:color w:val="auto"/>
                <w:sz w:val="28"/>
                <w:szCs w:val="28"/>
                <w:lang w:val="en-US" w:eastAsia="zh-Hans"/>
              </w:rPr>
              <w:t>谨慎</w:t>
            </w:r>
            <w:r>
              <w:rPr>
                <w:rFonts w:hint="eastAsia" w:ascii="仿宋" w:hAnsi="仿宋" w:eastAsia="仿宋"/>
                <w:color w:val="auto"/>
                <w:sz w:val="28"/>
                <w:szCs w:val="28"/>
              </w:rPr>
              <w:t>型</w:t>
            </w:r>
          </w:p>
        </w:tc>
        <w:tc>
          <w:tcPr>
            <w:tcW w:w="4394" w:type="dxa"/>
            <w:vAlign w:val="center"/>
          </w:tcPr>
          <w:p>
            <w:pPr>
              <w:rPr>
                <w:color w:val="auto"/>
              </w:rPr>
            </w:pPr>
            <w:r>
              <w:rPr>
                <w:rFonts w:ascii="仿宋" w:hAnsi="仿宋" w:eastAsia="仿宋" w:cs="Times New Roman"/>
                <w:color w:val="auto"/>
                <w:sz w:val="20"/>
                <w:szCs w:val="20"/>
                <w:lang w:eastAsia="zh-CN"/>
              </w:rPr>
              <w:t>您属于可以承担低风险的</w:t>
            </w:r>
          </w:p>
          <w:p>
            <w:pPr>
              <w:pStyle w:val="15"/>
              <w:spacing w:line="252" w:lineRule="exact"/>
              <w:ind w:left="0" w:right="-22"/>
              <w:jc w:val="both"/>
              <w:rPr>
                <w:rFonts w:ascii="仿宋" w:hAnsi="仿宋" w:eastAsia="仿宋" w:cs="Times New Roman"/>
                <w:color w:val="auto"/>
                <w:sz w:val="20"/>
                <w:szCs w:val="20"/>
                <w:lang w:eastAsia="zh-CN"/>
              </w:rPr>
            </w:pPr>
            <w:r>
              <w:rPr>
                <w:rFonts w:ascii="仿宋" w:hAnsi="仿宋" w:eastAsia="仿宋" w:cs="Times New Roman"/>
                <w:color w:val="auto"/>
                <w:sz w:val="20"/>
                <w:szCs w:val="20"/>
                <w:lang w:eastAsia="zh-CN"/>
              </w:rPr>
              <w:t>投资者</w:t>
            </w:r>
          </w:p>
        </w:tc>
        <w:tc>
          <w:tcPr>
            <w:tcW w:w="2657" w:type="dxa"/>
            <w:vAlign w:val="center"/>
          </w:tcPr>
          <w:p>
            <w:pPr>
              <w:pStyle w:val="15"/>
              <w:spacing w:line="298" w:lineRule="auto"/>
              <w:ind w:left="306" w:right="304"/>
              <w:jc w:val="both"/>
              <w:rPr>
                <w:rFonts w:ascii="仿宋" w:hAnsi="仿宋" w:eastAsia="仿宋" w:cs="Times New Roman"/>
                <w:color w:val="auto"/>
                <w:sz w:val="20"/>
                <w:szCs w:val="20"/>
                <w:lang w:eastAsia="zh-CN"/>
              </w:rPr>
            </w:pPr>
            <w:r>
              <w:rPr>
                <w:rFonts w:ascii="仿宋" w:hAnsi="仿宋" w:eastAsia="仿宋" w:cs="Times New Roman"/>
                <w:color w:val="auto"/>
                <w:sz w:val="20"/>
                <w:szCs w:val="20"/>
                <w:lang w:eastAsia="zh-CN"/>
              </w:rPr>
              <w:t>PR1</w:t>
            </w:r>
            <w:r>
              <w:rPr>
                <w:rFonts w:hint="eastAsia" w:ascii="仿宋" w:hAnsi="仿宋" w:eastAsia="仿宋" w:cs="Times New Roman"/>
                <w:color w:val="auto"/>
                <w:sz w:val="20"/>
                <w:szCs w:val="20"/>
                <w:lang w:eastAsia="zh-CN"/>
              </w:rPr>
              <w:t>（</w:t>
            </w:r>
            <w:r>
              <w:rPr>
                <w:rFonts w:ascii="仿宋" w:hAnsi="仿宋" w:eastAsia="仿宋" w:cs="Times New Roman"/>
                <w:color w:val="auto"/>
                <w:sz w:val="20"/>
                <w:szCs w:val="20"/>
                <w:lang w:eastAsia="zh-CN"/>
              </w:rPr>
              <w:t>低风险产品</w:t>
            </w:r>
            <w:r>
              <w:rPr>
                <w:rFonts w:hint="eastAsia" w:ascii="仿宋" w:hAnsi="仿宋" w:eastAsia="仿宋" w:cs="Times New Roman"/>
                <w:color w:val="auto"/>
                <w:sz w:val="20"/>
                <w:szCs w:val="20"/>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565" w:type="dxa"/>
            <w:vAlign w:val="center"/>
          </w:tcPr>
          <w:p>
            <w:pPr>
              <w:pStyle w:val="15"/>
              <w:spacing w:line="252" w:lineRule="exact"/>
              <w:ind w:right="-22"/>
              <w:jc w:val="both"/>
              <w:rPr>
                <w:rFonts w:ascii="仿宋" w:hAnsi="仿宋" w:eastAsia="仿宋" w:cs="Times New Roman"/>
                <w:color w:val="auto"/>
                <w:sz w:val="20"/>
                <w:szCs w:val="20"/>
                <w:lang w:eastAsia="zh-CN"/>
              </w:rPr>
            </w:pPr>
            <w:r>
              <w:rPr>
                <w:rFonts w:hint="eastAsia" w:ascii="仿宋" w:hAnsi="仿宋" w:eastAsia="仿宋"/>
                <w:color w:val="auto"/>
                <w:sz w:val="28"/>
                <w:szCs w:val="28"/>
              </w:rPr>
              <w:t>C</w:t>
            </w:r>
            <w:r>
              <w:rPr>
                <w:rFonts w:hint="default" w:ascii="仿宋" w:hAnsi="仿宋" w:eastAsia="仿宋"/>
                <w:color w:val="auto"/>
                <w:sz w:val="28"/>
                <w:szCs w:val="28"/>
              </w:rPr>
              <w:t>R</w:t>
            </w:r>
            <w:r>
              <w:rPr>
                <w:rFonts w:hint="eastAsia" w:ascii="仿宋" w:hAnsi="仿宋" w:eastAsia="仿宋"/>
                <w:color w:val="auto"/>
                <w:sz w:val="28"/>
                <w:szCs w:val="28"/>
              </w:rPr>
              <w:t>2稳健型</w:t>
            </w:r>
          </w:p>
        </w:tc>
        <w:tc>
          <w:tcPr>
            <w:tcW w:w="4394" w:type="dxa"/>
            <w:vAlign w:val="center"/>
          </w:tcPr>
          <w:p>
            <w:pPr>
              <w:rPr>
                <w:color w:val="auto"/>
              </w:rPr>
            </w:pPr>
            <w:r>
              <w:rPr>
                <w:rFonts w:ascii="仿宋" w:hAnsi="仿宋" w:eastAsia="仿宋" w:cs="Times New Roman"/>
                <w:color w:val="auto"/>
                <w:sz w:val="20"/>
                <w:szCs w:val="20"/>
                <w:lang w:eastAsia="zh-CN"/>
              </w:rPr>
              <w:t>您属于可以承担</w:t>
            </w:r>
            <w:r>
              <w:rPr>
                <w:rFonts w:hint="eastAsia" w:ascii="仿宋" w:hAnsi="仿宋" w:eastAsia="仿宋" w:cs="Times New Roman"/>
                <w:color w:val="auto"/>
                <w:sz w:val="20"/>
                <w:szCs w:val="20"/>
                <w:lang w:eastAsia="zh-CN"/>
              </w:rPr>
              <w:t>中</w:t>
            </w:r>
            <w:r>
              <w:rPr>
                <w:rFonts w:ascii="仿宋" w:hAnsi="仿宋" w:eastAsia="仿宋" w:cs="Times New Roman"/>
                <w:color w:val="auto"/>
                <w:sz w:val="20"/>
                <w:szCs w:val="20"/>
                <w:lang w:eastAsia="zh-CN"/>
              </w:rPr>
              <w:t>低</w:t>
            </w:r>
            <w:r>
              <w:rPr>
                <w:rFonts w:hint="eastAsia" w:ascii="仿宋" w:hAnsi="仿宋" w:eastAsia="仿宋" w:cs="Times New Roman"/>
                <w:color w:val="auto"/>
                <w:sz w:val="20"/>
                <w:szCs w:val="20"/>
                <w:lang w:eastAsia="zh-CN"/>
              </w:rPr>
              <w:t>风险</w:t>
            </w:r>
            <w:r>
              <w:rPr>
                <w:rFonts w:ascii="仿宋" w:hAnsi="仿宋" w:eastAsia="仿宋" w:cs="Times New Roman"/>
                <w:color w:val="auto"/>
                <w:sz w:val="20"/>
                <w:szCs w:val="20"/>
                <w:lang w:eastAsia="zh-CN"/>
              </w:rPr>
              <w:t>类型的投</w:t>
            </w:r>
          </w:p>
          <w:p>
            <w:pPr>
              <w:pStyle w:val="15"/>
              <w:spacing w:line="252" w:lineRule="exact"/>
              <w:ind w:left="0" w:right="-22"/>
              <w:jc w:val="both"/>
              <w:rPr>
                <w:rFonts w:ascii="仿宋" w:hAnsi="仿宋" w:eastAsia="仿宋" w:cs="Times New Roman"/>
                <w:color w:val="auto"/>
                <w:sz w:val="20"/>
                <w:szCs w:val="20"/>
                <w:lang w:eastAsia="zh-CN"/>
              </w:rPr>
            </w:pPr>
            <w:r>
              <w:rPr>
                <w:rFonts w:ascii="仿宋" w:hAnsi="仿宋" w:eastAsia="仿宋" w:cs="Times New Roman"/>
                <w:color w:val="auto"/>
                <w:sz w:val="20"/>
                <w:szCs w:val="20"/>
                <w:lang w:eastAsia="zh-CN"/>
              </w:rPr>
              <w:t>资者。</w:t>
            </w:r>
          </w:p>
        </w:tc>
        <w:tc>
          <w:tcPr>
            <w:tcW w:w="2657" w:type="dxa"/>
            <w:vAlign w:val="center"/>
          </w:tcPr>
          <w:p>
            <w:pPr>
              <w:pStyle w:val="15"/>
              <w:spacing w:line="298" w:lineRule="auto"/>
              <w:ind w:left="306" w:right="306"/>
              <w:jc w:val="both"/>
              <w:rPr>
                <w:rFonts w:ascii="仿宋" w:hAnsi="仿宋" w:eastAsia="仿宋" w:cs="Times New Roman"/>
                <w:color w:val="auto"/>
                <w:sz w:val="20"/>
                <w:szCs w:val="20"/>
                <w:lang w:eastAsia="zh-CN"/>
              </w:rPr>
            </w:pPr>
            <w:r>
              <w:rPr>
                <w:rFonts w:ascii="仿宋" w:hAnsi="仿宋" w:eastAsia="仿宋" w:cs="Times New Roman"/>
                <w:color w:val="auto"/>
                <w:sz w:val="20"/>
                <w:szCs w:val="20"/>
                <w:lang w:eastAsia="zh-CN"/>
              </w:rPr>
              <w:t>PR2</w:t>
            </w:r>
            <w:r>
              <w:rPr>
                <w:rFonts w:hint="eastAsia" w:ascii="仿宋" w:hAnsi="仿宋" w:eastAsia="仿宋" w:cs="Times New Roman"/>
                <w:color w:val="auto"/>
                <w:sz w:val="20"/>
                <w:szCs w:val="20"/>
                <w:lang w:eastAsia="zh-CN"/>
              </w:rPr>
              <w:t>（中低风险</w:t>
            </w:r>
            <w:r>
              <w:rPr>
                <w:rFonts w:ascii="仿宋" w:hAnsi="仿宋" w:eastAsia="仿宋" w:cs="Times New Roman"/>
                <w:color w:val="auto"/>
                <w:sz w:val="20"/>
                <w:szCs w:val="20"/>
                <w:lang w:eastAsia="zh-CN"/>
              </w:rPr>
              <w:t>产品</w:t>
            </w:r>
            <w:r>
              <w:rPr>
                <w:rFonts w:hint="eastAsia" w:ascii="仿宋" w:hAnsi="仿宋" w:eastAsia="仿宋" w:cs="Times New Roman"/>
                <w:color w:val="auto"/>
                <w:sz w:val="20"/>
                <w:szCs w:val="20"/>
                <w:lang w:eastAsia="zh-CN"/>
              </w:rPr>
              <w:t>）</w:t>
            </w:r>
            <w:r>
              <w:rPr>
                <w:rFonts w:hint="eastAsia" w:ascii="仿宋" w:hAnsi="仿宋" w:eastAsia="仿宋" w:cs="Times New Roman"/>
                <w:color w:val="auto"/>
                <w:sz w:val="20"/>
                <w:szCs w:val="20"/>
                <w:lang w:val="en-US" w:eastAsia="zh-Hans"/>
              </w:rPr>
              <w:t>及以下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565" w:type="dxa"/>
            <w:vAlign w:val="center"/>
          </w:tcPr>
          <w:p>
            <w:pPr>
              <w:pStyle w:val="15"/>
              <w:spacing w:line="252" w:lineRule="exact"/>
              <w:ind w:right="-22"/>
              <w:jc w:val="both"/>
              <w:rPr>
                <w:rFonts w:ascii="仿宋" w:hAnsi="仿宋" w:eastAsia="仿宋" w:cs="Times New Roman"/>
                <w:color w:val="auto"/>
                <w:sz w:val="20"/>
                <w:szCs w:val="20"/>
                <w:lang w:eastAsia="zh-CN"/>
              </w:rPr>
            </w:pPr>
            <w:r>
              <w:rPr>
                <w:rFonts w:hint="eastAsia" w:ascii="仿宋" w:hAnsi="仿宋" w:eastAsia="仿宋"/>
                <w:color w:val="auto"/>
                <w:sz w:val="28"/>
                <w:szCs w:val="28"/>
              </w:rPr>
              <w:t>C</w:t>
            </w:r>
            <w:r>
              <w:rPr>
                <w:rFonts w:hint="default" w:ascii="仿宋" w:hAnsi="仿宋" w:eastAsia="仿宋"/>
                <w:color w:val="auto"/>
                <w:sz w:val="28"/>
                <w:szCs w:val="28"/>
              </w:rPr>
              <w:t>R</w:t>
            </w:r>
            <w:r>
              <w:rPr>
                <w:rFonts w:hint="eastAsia" w:ascii="仿宋" w:hAnsi="仿宋" w:eastAsia="仿宋"/>
                <w:color w:val="auto"/>
                <w:sz w:val="28"/>
                <w:szCs w:val="28"/>
              </w:rPr>
              <w:t>3平衡型</w:t>
            </w:r>
          </w:p>
        </w:tc>
        <w:tc>
          <w:tcPr>
            <w:tcW w:w="4394" w:type="dxa"/>
            <w:vAlign w:val="center"/>
          </w:tcPr>
          <w:p>
            <w:pPr>
              <w:rPr>
                <w:color w:val="auto"/>
              </w:rPr>
            </w:pPr>
            <w:r>
              <w:rPr>
                <w:rFonts w:ascii="仿宋" w:hAnsi="仿宋" w:eastAsia="仿宋" w:cs="Times New Roman"/>
                <w:color w:val="auto"/>
                <w:sz w:val="20"/>
                <w:szCs w:val="20"/>
                <w:lang w:eastAsia="zh-CN"/>
              </w:rPr>
              <w:t>您属于可以承担中等风险类型的投</w:t>
            </w:r>
          </w:p>
          <w:p>
            <w:pPr>
              <w:pStyle w:val="15"/>
              <w:spacing w:line="252" w:lineRule="exact"/>
              <w:ind w:left="0" w:right="-22"/>
              <w:jc w:val="both"/>
              <w:rPr>
                <w:rFonts w:ascii="仿宋" w:hAnsi="仿宋" w:eastAsia="仿宋" w:cs="Times New Roman"/>
                <w:color w:val="auto"/>
                <w:sz w:val="20"/>
                <w:szCs w:val="20"/>
                <w:lang w:eastAsia="zh-CN"/>
              </w:rPr>
            </w:pPr>
            <w:r>
              <w:rPr>
                <w:rFonts w:ascii="仿宋" w:hAnsi="仿宋" w:eastAsia="仿宋" w:cs="Times New Roman"/>
                <w:color w:val="auto"/>
                <w:sz w:val="20"/>
                <w:szCs w:val="20"/>
                <w:lang w:eastAsia="zh-CN"/>
              </w:rPr>
              <w:t>资者。</w:t>
            </w:r>
          </w:p>
        </w:tc>
        <w:tc>
          <w:tcPr>
            <w:tcW w:w="2657" w:type="dxa"/>
            <w:vAlign w:val="center"/>
          </w:tcPr>
          <w:p>
            <w:pPr>
              <w:pStyle w:val="15"/>
              <w:spacing w:line="298" w:lineRule="auto"/>
              <w:ind w:left="306" w:right="306"/>
              <w:jc w:val="both"/>
              <w:rPr>
                <w:rFonts w:ascii="仿宋" w:hAnsi="仿宋" w:eastAsia="仿宋" w:cs="Times New Roman"/>
                <w:color w:val="auto"/>
                <w:sz w:val="20"/>
                <w:szCs w:val="20"/>
                <w:lang w:eastAsia="zh-CN"/>
              </w:rPr>
            </w:pPr>
            <w:r>
              <w:rPr>
                <w:rFonts w:ascii="仿宋" w:hAnsi="仿宋" w:eastAsia="仿宋" w:cs="Times New Roman"/>
                <w:color w:val="auto"/>
                <w:sz w:val="20"/>
                <w:szCs w:val="20"/>
                <w:lang w:eastAsia="zh-CN"/>
              </w:rPr>
              <w:t>PR3</w:t>
            </w:r>
            <w:r>
              <w:rPr>
                <w:rFonts w:hint="eastAsia" w:ascii="仿宋" w:hAnsi="仿宋" w:eastAsia="仿宋" w:cs="Times New Roman"/>
                <w:color w:val="auto"/>
                <w:sz w:val="20"/>
                <w:szCs w:val="20"/>
                <w:lang w:eastAsia="zh-CN"/>
              </w:rPr>
              <w:t>（中风险</w:t>
            </w:r>
            <w:r>
              <w:rPr>
                <w:rFonts w:ascii="仿宋" w:hAnsi="仿宋" w:eastAsia="仿宋" w:cs="Times New Roman"/>
                <w:color w:val="auto"/>
                <w:sz w:val="20"/>
                <w:szCs w:val="20"/>
                <w:lang w:eastAsia="zh-CN"/>
              </w:rPr>
              <w:t>产品</w:t>
            </w:r>
            <w:r>
              <w:rPr>
                <w:rFonts w:hint="eastAsia" w:ascii="仿宋" w:hAnsi="仿宋" w:eastAsia="仿宋" w:cs="Times New Roman"/>
                <w:color w:val="auto"/>
                <w:sz w:val="20"/>
                <w:szCs w:val="20"/>
                <w:lang w:eastAsia="zh-CN"/>
              </w:rPr>
              <w:t>）</w:t>
            </w:r>
            <w:r>
              <w:rPr>
                <w:rFonts w:hint="eastAsia" w:ascii="仿宋" w:hAnsi="仿宋" w:eastAsia="仿宋" w:cs="Times New Roman"/>
                <w:color w:val="auto"/>
                <w:sz w:val="20"/>
                <w:szCs w:val="20"/>
                <w:lang w:val="en-US" w:eastAsia="zh-Hans"/>
              </w:rPr>
              <w:t>及以下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565" w:type="dxa"/>
            <w:vAlign w:val="center"/>
          </w:tcPr>
          <w:p>
            <w:pPr>
              <w:pStyle w:val="15"/>
              <w:spacing w:line="252" w:lineRule="exact"/>
              <w:ind w:right="-22"/>
              <w:jc w:val="both"/>
              <w:rPr>
                <w:rFonts w:ascii="仿宋" w:hAnsi="仿宋" w:eastAsia="仿宋" w:cs="Times New Roman"/>
                <w:color w:val="auto"/>
                <w:sz w:val="20"/>
                <w:szCs w:val="20"/>
                <w:lang w:eastAsia="zh-CN"/>
              </w:rPr>
            </w:pPr>
            <w:r>
              <w:rPr>
                <w:rFonts w:hint="eastAsia" w:ascii="仿宋" w:hAnsi="仿宋" w:eastAsia="仿宋"/>
                <w:color w:val="auto"/>
                <w:sz w:val="28"/>
                <w:szCs w:val="28"/>
              </w:rPr>
              <w:t>C</w:t>
            </w:r>
            <w:r>
              <w:rPr>
                <w:rFonts w:hint="default" w:ascii="仿宋" w:hAnsi="仿宋" w:eastAsia="仿宋"/>
                <w:color w:val="auto"/>
                <w:sz w:val="28"/>
                <w:szCs w:val="28"/>
              </w:rPr>
              <w:t>R</w:t>
            </w:r>
            <w:r>
              <w:rPr>
                <w:rFonts w:hint="eastAsia" w:ascii="仿宋" w:hAnsi="仿宋" w:eastAsia="仿宋"/>
                <w:color w:val="auto"/>
                <w:sz w:val="28"/>
                <w:szCs w:val="28"/>
              </w:rPr>
              <w:t>4</w:t>
            </w:r>
            <w:r>
              <w:rPr>
                <w:rFonts w:hint="eastAsia" w:ascii="仿宋" w:hAnsi="仿宋" w:eastAsia="仿宋"/>
                <w:color w:val="auto"/>
                <w:sz w:val="28"/>
                <w:szCs w:val="28"/>
                <w:lang w:val="en-US" w:eastAsia="zh-Hans"/>
              </w:rPr>
              <w:t>进取</w:t>
            </w:r>
            <w:r>
              <w:rPr>
                <w:rFonts w:hint="eastAsia" w:ascii="仿宋" w:hAnsi="仿宋" w:eastAsia="仿宋"/>
                <w:color w:val="auto"/>
                <w:sz w:val="28"/>
                <w:szCs w:val="28"/>
              </w:rPr>
              <w:t>型</w:t>
            </w:r>
          </w:p>
        </w:tc>
        <w:tc>
          <w:tcPr>
            <w:tcW w:w="4394" w:type="dxa"/>
            <w:vAlign w:val="center"/>
          </w:tcPr>
          <w:p>
            <w:pPr>
              <w:rPr>
                <w:color w:val="auto"/>
              </w:rPr>
            </w:pPr>
            <w:r>
              <w:rPr>
                <w:rFonts w:ascii="仿宋" w:hAnsi="仿宋" w:eastAsia="仿宋" w:cs="Times New Roman"/>
                <w:color w:val="auto"/>
                <w:sz w:val="20"/>
                <w:szCs w:val="20"/>
                <w:lang w:eastAsia="zh-CN"/>
              </w:rPr>
              <w:t>您属于可以承担</w:t>
            </w:r>
            <w:r>
              <w:rPr>
                <w:rFonts w:hint="eastAsia" w:ascii="仿宋" w:hAnsi="仿宋" w:eastAsia="仿宋" w:cs="Times New Roman"/>
                <w:color w:val="auto"/>
                <w:sz w:val="20"/>
                <w:szCs w:val="20"/>
                <w:lang w:eastAsia="zh-CN"/>
              </w:rPr>
              <w:t>中</w:t>
            </w:r>
            <w:r>
              <w:rPr>
                <w:rFonts w:ascii="仿宋" w:hAnsi="仿宋" w:eastAsia="仿宋" w:cs="Times New Roman"/>
                <w:color w:val="auto"/>
                <w:sz w:val="20"/>
                <w:szCs w:val="20"/>
                <w:lang w:eastAsia="zh-CN"/>
              </w:rPr>
              <w:t>高风险类型的投</w:t>
            </w:r>
          </w:p>
          <w:p>
            <w:pPr>
              <w:pStyle w:val="15"/>
              <w:spacing w:line="252" w:lineRule="exact"/>
              <w:ind w:left="0" w:right="-22"/>
              <w:jc w:val="both"/>
              <w:rPr>
                <w:rFonts w:ascii="仿宋" w:hAnsi="仿宋" w:eastAsia="仿宋" w:cs="Times New Roman"/>
                <w:color w:val="auto"/>
                <w:sz w:val="20"/>
                <w:szCs w:val="20"/>
                <w:lang w:eastAsia="zh-CN"/>
              </w:rPr>
            </w:pPr>
            <w:r>
              <w:rPr>
                <w:rFonts w:ascii="仿宋" w:hAnsi="仿宋" w:eastAsia="仿宋" w:cs="Times New Roman"/>
                <w:color w:val="auto"/>
                <w:sz w:val="20"/>
                <w:szCs w:val="20"/>
                <w:lang w:eastAsia="zh-CN"/>
              </w:rPr>
              <w:t>资者。</w:t>
            </w:r>
          </w:p>
        </w:tc>
        <w:tc>
          <w:tcPr>
            <w:tcW w:w="2657" w:type="dxa"/>
            <w:vAlign w:val="center"/>
          </w:tcPr>
          <w:p>
            <w:pPr>
              <w:pStyle w:val="15"/>
              <w:spacing w:line="298" w:lineRule="auto"/>
              <w:ind w:left="306" w:right="306"/>
              <w:jc w:val="both"/>
              <w:rPr>
                <w:rFonts w:ascii="仿宋" w:hAnsi="仿宋" w:eastAsia="仿宋" w:cs="Times New Roman"/>
                <w:color w:val="auto"/>
                <w:sz w:val="20"/>
                <w:szCs w:val="20"/>
                <w:lang w:eastAsia="zh-CN"/>
              </w:rPr>
            </w:pPr>
            <w:r>
              <w:rPr>
                <w:rFonts w:ascii="仿宋" w:hAnsi="仿宋" w:eastAsia="仿宋" w:cs="Times New Roman"/>
                <w:color w:val="auto"/>
                <w:sz w:val="20"/>
                <w:szCs w:val="20"/>
                <w:lang w:eastAsia="zh-CN"/>
              </w:rPr>
              <w:t>PR4</w:t>
            </w:r>
            <w:r>
              <w:rPr>
                <w:rFonts w:hint="eastAsia" w:ascii="仿宋" w:hAnsi="仿宋" w:eastAsia="仿宋" w:cs="Times New Roman"/>
                <w:color w:val="auto"/>
                <w:sz w:val="20"/>
                <w:szCs w:val="20"/>
                <w:lang w:eastAsia="zh-CN"/>
              </w:rPr>
              <w:t>（中</w:t>
            </w:r>
            <w:r>
              <w:rPr>
                <w:rFonts w:ascii="仿宋" w:hAnsi="仿宋" w:eastAsia="仿宋" w:cs="Times New Roman"/>
                <w:color w:val="auto"/>
                <w:sz w:val="20"/>
                <w:szCs w:val="20"/>
                <w:lang w:eastAsia="zh-CN"/>
              </w:rPr>
              <w:t>高</w:t>
            </w:r>
            <w:r>
              <w:rPr>
                <w:rFonts w:hint="eastAsia" w:ascii="仿宋" w:hAnsi="仿宋" w:eastAsia="仿宋" w:cs="Times New Roman"/>
                <w:color w:val="auto"/>
                <w:sz w:val="20"/>
                <w:szCs w:val="20"/>
                <w:lang w:eastAsia="zh-CN"/>
              </w:rPr>
              <w:t>风险</w:t>
            </w:r>
            <w:r>
              <w:rPr>
                <w:rFonts w:ascii="仿宋" w:hAnsi="仿宋" w:eastAsia="仿宋" w:cs="Times New Roman"/>
                <w:color w:val="auto"/>
                <w:sz w:val="20"/>
                <w:szCs w:val="20"/>
                <w:lang w:eastAsia="zh-CN"/>
              </w:rPr>
              <w:t>产品</w:t>
            </w:r>
            <w:r>
              <w:rPr>
                <w:rFonts w:hint="eastAsia" w:ascii="仿宋" w:hAnsi="仿宋" w:eastAsia="仿宋" w:cs="Times New Roman"/>
                <w:color w:val="auto"/>
                <w:sz w:val="20"/>
                <w:szCs w:val="20"/>
                <w:lang w:eastAsia="zh-CN"/>
              </w:rPr>
              <w:t>）</w:t>
            </w:r>
            <w:r>
              <w:rPr>
                <w:rFonts w:hint="eastAsia" w:ascii="仿宋" w:hAnsi="仿宋" w:eastAsia="仿宋" w:cs="Times New Roman"/>
                <w:color w:val="auto"/>
                <w:sz w:val="20"/>
                <w:szCs w:val="20"/>
                <w:lang w:val="en-US" w:eastAsia="zh-Hans"/>
              </w:rPr>
              <w:t>及以下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565" w:type="dxa"/>
            <w:vAlign w:val="center"/>
          </w:tcPr>
          <w:p>
            <w:pPr>
              <w:pStyle w:val="15"/>
              <w:spacing w:line="252" w:lineRule="exact"/>
              <w:ind w:right="-22"/>
              <w:jc w:val="both"/>
              <w:rPr>
                <w:rFonts w:ascii="仿宋" w:hAnsi="仿宋" w:eastAsia="仿宋" w:cs="Times New Roman"/>
                <w:color w:val="auto"/>
                <w:sz w:val="20"/>
                <w:szCs w:val="20"/>
                <w:lang w:eastAsia="zh-CN"/>
              </w:rPr>
            </w:pPr>
            <w:r>
              <w:rPr>
                <w:rFonts w:hint="eastAsia" w:ascii="仿宋" w:hAnsi="仿宋" w:eastAsia="仿宋"/>
                <w:color w:val="auto"/>
                <w:sz w:val="28"/>
                <w:szCs w:val="28"/>
              </w:rPr>
              <w:t>C</w:t>
            </w:r>
            <w:r>
              <w:rPr>
                <w:rFonts w:hint="default" w:ascii="仿宋" w:hAnsi="仿宋" w:eastAsia="仿宋"/>
                <w:color w:val="auto"/>
                <w:sz w:val="28"/>
                <w:szCs w:val="28"/>
              </w:rPr>
              <w:t>R</w:t>
            </w:r>
            <w:r>
              <w:rPr>
                <w:rFonts w:hint="eastAsia" w:ascii="仿宋" w:hAnsi="仿宋" w:eastAsia="仿宋"/>
                <w:color w:val="auto"/>
                <w:sz w:val="28"/>
                <w:szCs w:val="28"/>
              </w:rPr>
              <w:t>5</w:t>
            </w:r>
            <w:r>
              <w:rPr>
                <w:rFonts w:hint="eastAsia" w:ascii="仿宋" w:hAnsi="仿宋" w:eastAsia="仿宋"/>
                <w:color w:val="auto"/>
                <w:sz w:val="28"/>
                <w:szCs w:val="28"/>
                <w:lang w:val="en-US" w:eastAsia="zh-Hans"/>
              </w:rPr>
              <w:t>激进</w:t>
            </w:r>
            <w:r>
              <w:rPr>
                <w:rFonts w:hint="eastAsia" w:ascii="仿宋" w:hAnsi="仿宋" w:eastAsia="仿宋"/>
                <w:color w:val="auto"/>
                <w:sz w:val="28"/>
                <w:szCs w:val="28"/>
              </w:rPr>
              <w:t>型</w:t>
            </w:r>
          </w:p>
        </w:tc>
        <w:tc>
          <w:tcPr>
            <w:tcW w:w="4394" w:type="dxa"/>
            <w:vAlign w:val="center"/>
          </w:tcPr>
          <w:p>
            <w:pPr>
              <w:pStyle w:val="15"/>
              <w:spacing w:line="252" w:lineRule="exact"/>
              <w:ind w:right="-22"/>
              <w:jc w:val="both"/>
              <w:rPr>
                <w:rFonts w:ascii="仿宋" w:hAnsi="仿宋" w:eastAsia="仿宋" w:cs="Times New Roman"/>
                <w:color w:val="auto"/>
                <w:sz w:val="20"/>
                <w:szCs w:val="20"/>
                <w:lang w:eastAsia="zh-CN"/>
              </w:rPr>
            </w:pPr>
            <w:r>
              <w:rPr>
                <w:rFonts w:ascii="仿宋" w:hAnsi="仿宋" w:eastAsia="仿宋" w:cs="Times New Roman"/>
                <w:color w:val="auto"/>
                <w:sz w:val="20"/>
                <w:szCs w:val="20"/>
                <w:lang w:eastAsia="zh-CN"/>
              </w:rPr>
              <w:t>您属于可以承受高风险类型的投资者。</w:t>
            </w:r>
          </w:p>
        </w:tc>
        <w:tc>
          <w:tcPr>
            <w:tcW w:w="2657" w:type="dxa"/>
            <w:vAlign w:val="center"/>
          </w:tcPr>
          <w:p>
            <w:pPr>
              <w:pStyle w:val="15"/>
              <w:spacing w:line="298" w:lineRule="auto"/>
              <w:ind w:left="306" w:right="306"/>
              <w:jc w:val="both"/>
              <w:rPr>
                <w:rFonts w:hint="default" w:ascii="仿宋" w:hAnsi="仿宋" w:eastAsia="仿宋" w:cs="Times New Roman"/>
                <w:color w:val="auto"/>
                <w:sz w:val="20"/>
                <w:szCs w:val="20"/>
                <w:lang w:val="en-US" w:eastAsia="zh-Hans"/>
              </w:rPr>
            </w:pPr>
            <w:r>
              <w:rPr>
                <w:rFonts w:ascii="仿宋" w:hAnsi="仿宋" w:eastAsia="仿宋" w:cs="Times New Roman"/>
                <w:color w:val="auto"/>
                <w:sz w:val="20"/>
                <w:szCs w:val="20"/>
                <w:lang w:eastAsia="zh-CN"/>
              </w:rPr>
              <w:t>PR5</w:t>
            </w:r>
            <w:r>
              <w:rPr>
                <w:rFonts w:hint="eastAsia" w:ascii="仿宋" w:hAnsi="仿宋" w:eastAsia="仿宋" w:cs="Times New Roman"/>
                <w:color w:val="auto"/>
                <w:sz w:val="20"/>
                <w:szCs w:val="20"/>
                <w:lang w:eastAsia="zh-CN"/>
              </w:rPr>
              <w:t>（高风险</w:t>
            </w:r>
            <w:r>
              <w:rPr>
                <w:rFonts w:ascii="仿宋" w:hAnsi="仿宋" w:eastAsia="仿宋" w:cs="Times New Roman"/>
                <w:color w:val="auto"/>
                <w:sz w:val="20"/>
                <w:szCs w:val="20"/>
                <w:lang w:eastAsia="zh-CN"/>
              </w:rPr>
              <w:t>产品</w:t>
            </w:r>
            <w:r>
              <w:rPr>
                <w:rFonts w:hint="eastAsia" w:ascii="仿宋" w:hAnsi="仿宋" w:eastAsia="仿宋" w:cs="Times New Roman"/>
                <w:color w:val="auto"/>
                <w:sz w:val="20"/>
                <w:szCs w:val="20"/>
                <w:lang w:eastAsia="zh-CN"/>
              </w:rPr>
              <w:t>）</w:t>
            </w:r>
            <w:r>
              <w:rPr>
                <w:rFonts w:hint="eastAsia" w:ascii="仿宋" w:hAnsi="仿宋" w:eastAsia="仿宋" w:cs="Times New Roman"/>
                <w:color w:val="auto"/>
                <w:sz w:val="20"/>
                <w:szCs w:val="20"/>
                <w:lang w:val="en-US" w:eastAsia="zh-Hans"/>
              </w:rPr>
              <w:t>及以下</w:t>
            </w:r>
          </w:p>
        </w:tc>
      </w:tr>
    </w:tbl>
    <w:p>
      <w:pPr>
        <w:spacing w:before="312" w:beforeLines="100" w:line="298" w:lineRule="auto"/>
        <w:ind w:right="340" w:firstLine="560" w:firstLineChars="200"/>
        <w:rPr>
          <w:rFonts w:ascii="仿宋" w:hAnsi="仿宋" w:eastAsia="仿宋"/>
          <w:color w:val="auto"/>
          <w:sz w:val="28"/>
          <w:szCs w:val="28"/>
        </w:rPr>
      </w:pPr>
      <w:r>
        <w:rPr>
          <w:rFonts w:hint="eastAsia" w:ascii="仿宋" w:hAnsi="仿宋" w:eastAsia="仿宋"/>
          <w:color w:val="auto"/>
          <w:sz w:val="28"/>
          <w:szCs w:val="28"/>
        </w:rPr>
        <w:t>为了准确地了解和评估您的</w:t>
      </w:r>
      <w:bookmarkStart w:id="0" w:name="_GoBack"/>
      <w:bookmarkEnd w:id="0"/>
      <w:r>
        <w:rPr>
          <w:rFonts w:hint="eastAsia" w:ascii="仿宋" w:hAnsi="仿宋" w:eastAsia="仿宋"/>
          <w:color w:val="auto"/>
          <w:sz w:val="28"/>
          <w:szCs w:val="28"/>
        </w:rPr>
        <w:t>投资需求，请您在首次购买理财产品前，通过</w:t>
      </w:r>
      <w:r>
        <w:rPr>
          <w:rFonts w:hint="default" w:ascii="仿宋" w:hAnsi="仿宋" w:eastAsia="仿宋"/>
          <w:color w:val="auto"/>
          <w:sz w:val="28"/>
          <w:szCs w:val="28"/>
          <w:highlight w:val="none"/>
        </w:rPr>
        <w:t>华夏银行</w:t>
      </w:r>
      <w:r>
        <w:rPr>
          <w:rFonts w:hint="eastAsia" w:ascii="仿宋" w:hAnsi="仿宋" w:eastAsia="仿宋"/>
          <w:color w:val="auto"/>
          <w:sz w:val="28"/>
          <w:szCs w:val="28"/>
        </w:rPr>
        <w:t>的网上银行、手机银行等销售渠道进行有效风险承受能力的评估。基于您所购买理财产品类型的不同（公募理财产品</w:t>
      </w:r>
      <w:r>
        <w:rPr>
          <w:rFonts w:ascii="仿宋" w:hAnsi="仿宋" w:eastAsia="仿宋"/>
          <w:color w:val="auto"/>
          <w:sz w:val="28"/>
          <w:szCs w:val="28"/>
        </w:rPr>
        <w:t>/</w:t>
      </w:r>
      <w:r>
        <w:rPr>
          <w:rFonts w:hint="eastAsia" w:ascii="仿宋" w:hAnsi="仿宋" w:eastAsia="仿宋"/>
          <w:color w:val="auto"/>
          <w:sz w:val="28"/>
          <w:szCs w:val="28"/>
        </w:rPr>
        <w:t>私募理财产品），您需要完成不同的风险承受能力评估手续。</w:t>
      </w:r>
    </w:p>
    <w:p>
      <w:pPr>
        <w:spacing w:line="298" w:lineRule="auto"/>
        <w:ind w:left="521"/>
        <w:rPr>
          <w:color w:val="auto"/>
        </w:rPr>
      </w:pPr>
      <w:r>
        <w:rPr>
          <w:rFonts w:hint="eastAsia" w:ascii="仿宋" w:hAnsi="仿宋" w:eastAsia="仿宋"/>
          <w:color w:val="auto"/>
          <w:sz w:val="28"/>
          <w:szCs w:val="28"/>
        </w:rPr>
        <w:t>投资者风险承受能力评估流程：</w:t>
      </w:r>
    </w:p>
    <w:p>
      <w:pPr>
        <w:widowControl/>
        <w:spacing w:line="360" w:lineRule="auto"/>
        <w:rPr>
          <w:rFonts w:ascii="仿宋" w:hAnsi="仿宋" w:eastAsia="仿宋"/>
          <w:color w:val="auto"/>
          <w:sz w:val="28"/>
          <w:szCs w:val="28"/>
        </w:rPr>
      </w:pPr>
      <w:r>
        <w:rPr>
          <w:rFonts w:ascii="仿宋_GB2312" w:eastAsia="仿宋_GB2312"/>
          <w:color w:val="auto"/>
          <w:sz w:val="24"/>
          <w:szCs w:val="24"/>
        </w:rPr>
        <w:drawing>
          <wp:inline distT="0" distB="0" distL="0" distR="0">
            <wp:extent cx="5274310" cy="779145"/>
            <wp:effectExtent l="19050" t="0" r="21590" b="0"/>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pPr>
        <w:spacing w:line="300" w:lineRule="auto"/>
        <w:ind w:right="686"/>
        <w:rPr>
          <w:rFonts w:ascii="仿宋" w:hAnsi="仿宋" w:eastAsia="仿宋"/>
          <w:color w:val="auto"/>
          <w:sz w:val="28"/>
          <w:szCs w:val="28"/>
        </w:rPr>
      </w:pPr>
    </w:p>
    <w:p>
      <w:pPr>
        <w:spacing w:line="298" w:lineRule="auto"/>
        <w:ind w:left="102" w:right="161" w:firstLine="422"/>
        <w:rPr>
          <w:rFonts w:ascii="仿宋" w:hAnsi="仿宋" w:eastAsia="仿宋"/>
          <w:color w:val="auto"/>
          <w:sz w:val="28"/>
          <w:szCs w:val="28"/>
        </w:rPr>
      </w:pPr>
      <w:r>
        <w:rPr>
          <w:rFonts w:hint="eastAsia" w:ascii="仿宋" w:hAnsi="仿宋" w:eastAsia="仿宋"/>
          <w:color w:val="auto"/>
          <w:sz w:val="28"/>
          <w:szCs w:val="28"/>
        </w:rPr>
        <w:t>为了及时更新您的财务状况，明确您的投资目标，个人投资风险承受能力评估结果的有效期为一年期，若您的风险承受能力评估结果已过有效期或者在评级结果有效期内发生了可能影响您自身风险承受能力的情形，请您在再次购买理财产品前，通过销售服务机构</w:t>
      </w:r>
      <w:r>
        <w:rPr>
          <w:rFonts w:hint="default" w:ascii="仿宋" w:hAnsi="仿宋" w:eastAsia="仿宋"/>
          <w:color w:val="auto"/>
          <w:sz w:val="28"/>
          <w:szCs w:val="28"/>
          <w:highlight w:val="none"/>
        </w:rPr>
        <w:t>华夏银行</w:t>
      </w:r>
      <w:r>
        <w:rPr>
          <w:rFonts w:hint="eastAsia" w:ascii="仿宋" w:hAnsi="仿宋" w:eastAsia="仿宋"/>
          <w:color w:val="auto"/>
          <w:sz w:val="28"/>
          <w:szCs w:val="28"/>
        </w:rPr>
        <w:t>的网上银行、手机银行等销售渠道重新进行风险承受能力评估。</w:t>
      </w:r>
    </w:p>
    <w:p>
      <w:pPr>
        <w:spacing w:line="298" w:lineRule="auto"/>
        <w:ind w:left="521" w:firstLine="2"/>
        <w:rPr>
          <w:rFonts w:ascii="仿宋" w:hAnsi="仿宋" w:eastAsia="仿宋"/>
          <w:b/>
          <w:bCs/>
          <w:color w:val="auto"/>
          <w:sz w:val="28"/>
          <w:szCs w:val="28"/>
        </w:rPr>
      </w:pPr>
      <w:r>
        <w:rPr>
          <w:rFonts w:hint="eastAsia" w:ascii="仿宋" w:hAnsi="仿宋" w:eastAsia="仿宋"/>
          <w:b/>
          <w:bCs/>
          <w:color w:val="auto"/>
          <w:sz w:val="28"/>
          <w:szCs w:val="28"/>
        </w:rPr>
        <w:t>第二步</w:t>
      </w:r>
      <w:r>
        <w:rPr>
          <w:rFonts w:ascii="仿宋" w:hAnsi="仿宋" w:eastAsia="仿宋"/>
          <w:b/>
          <w:bCs/>
          <w:color w:val="auto"/>
          <w:sz w:val="28"/>
          <w:szCs w:val="28"/>
        </w:rPr>
        <w:t xml:space="preserve"> </w:t>
      </w:r>
      <w:r>
        <w:rPr>
          <w:rFonts w:hint="eastAsia" w:ascii="仿宋" w:hAnsi="仿宋" w:eastAsia="仿宋"/>
          <w:b/>
          <w:bCs/>
          <w:color w:val="auto"/>
          <w:sz w:val="28"/>
          <w:szCs w:val="28"/>
        </w:rPr>
        <w:t>购买您选择的理财产品</w:t>
      </w:r>
    </w:p>
    <w:p>
      <w:pPr>
        <w:spacing w:line="360" w:lineRule="auto"/>
        <w:ind w:firstLine="480" w:firstLineChars="200"/>
        <w:rPr>
          <w:rFonts w:ascii="仿宋_GB2312" w:eastAsia="仿宋_GB2312"/>
          <w:color w:val="auto"/>
          <w:sz w:val="24"/>
          <w:szCs w:val="24"/>
        </w:rPr>
      </w:pPr>
      <w:r>
        <w:rPr>
          <w:rFonts w:hint="eastAsia" w:ascii="仿宋_GB2312" w:eastAsia="仿宋_GB2312"/>
          <w:color w:val="auto"/>
          <w:sz w:val="24"/>
          <w:szCs w:val="24"/>
        </w:rPr>
        <w:t>（一）</w:t>
      </w:r>
      <w:r>
        <w:rPr>
          <w:rFonts w:hint="eastAsia" w:ascii="仿宋_GB2312" w:eastAsia="仿宋_GB2312"/>
          <w:color w:val="auto"/>
          <w:sz w:val="24"/>
          <w:szCs w:val="24"/>
          <w:lang w:val="en-US" w:eastAsia="zh-Hans"/>
        </w:rPr>
        <w:t>华夏</w:t>
      </w:r>
      <w:r>
        <w:rPr>
          <w:rFonts w:hint="eastAsia" w:ascii="仿宋_GB2312" w:eastAsia="仿宋_GB2312"/>
          <w:color w:val="auto"/>
          <w:sz w:val="24"/>
          <w:szCs w:val="24"/>
        </w:rPr>
        <w:t>银行营业网点</w:t>
      </w:r>
    </w:p>
    <w:p>
      <w:pPr>
        <w:spacing w:line="360" w:lineRule="auto"/>
        <w:ind w:firstLine="480" w:firstLineChars="200"/>
        <w:rPr>
          <w:rFonts w:hint="eastAsia" w:ascii="仿宋_GB2312" w:eastAsia="仿宋_GB2312"/>
          <w:color w:val="auto"/>
          <w:sz w:val="24"/>
          <w:szCs w:val="24"/>
          <w:lang w:eastAsia="zh-Hans"/>
        </w:rPr>
      </w:pPr>
      <w:r>
        <w:rPr>
          <w:rFonts w:hint="eastAsia" w:ascii="仿宋_GB2312" w:hAnsi="方正仿宋_GBK" w:eastAsia="仿宋_GB2312" w:cs="方正仿宋_GBK"/>
          <w:color w:val="auto"/>
          <w:sz w:val="24"/>
          <w:szCs w:val="24"/>
          <w:lang w:val="en-US" w:eastAsia="zh-Hans"/>
        </w:rPr>
        <w:t>华夏</w:t>
      </w:r>
      <w:r>
        <w:rPr>
          <w:rFonts w:hint="eastAsia" w:ascii="仿宋_GB2312" w:hAnsi="方正仿宋_GBK" w:eastAsia="仿宋_GB2312" w:cs="方正仿宋_GBK"/>
          <w:color w:val="auto"/>
          <w:sz w:val="24"/>
          <w:szCs w:val="24"/>
        </w:rPr>
        <w:t>银行客户经理为个人投资者介绍产品，揭示风险，全程录音录像→投资者阅读</w:t>
      </w:r>
      <w:r>
        <w:rPr>
          <w:rFonts w:hint="eastAsia" w:ascii="仿宋_GB2312" w:eastAsia="仿宋_GB2312"/>
          <w:color w:val="auto"/>
          <w:sz w:val="24"/>
          <w:szCs w:val="24"/>
        </w:rPr>
        <w:t>《</w:t>
      </w:r>
      <w:r>
        <w:rPr>
          <w:rFonts w:hint="eastAsia" w:ascii="仿宋_GB2312" w:eastAsia="仿宋_GB2312"/>
          <w:color w:val="auto"/>
          <w:sz w:val="24"/>
          <w:szCs w:val="24"/>
          <w:lang w:val="en-US" w:eastAsia="zh-Hans"/>
        </w:rPr>
        <w:t>华夏银行代理销售个人理财产品协议书</w:t>
      </w:r>
      <w:r>
        <w:rPr>
          <w:rFonts w:hint="eastAsia" w:ascii="仿宋_GB2312" w:eastAsia="仿宋_GB2312"/>
          <w:color w:val="auto"/>
          <w:sz w:val="24"/>
          <w:szCs w:val="24"/>
        </w:rPr>
        <w:t>》、《代理销售理财产品</w:t>
      </w:r>
      <w:r>
        <w:rPr>
          <w:rFonts w:hint="eastAsia" w:ascii="仿宋_GB2312" w:eastAsia="仿宋_GB2312"/>
          <w:color w:val="auto"/>
          <w:sz w:val="24"/>
          <w:szCs w:val="24"/>
          <w:lang w:val="en-US" w:eastAsia="zh-Hans"/>
        </w:rPr>
        <w:t>投资协议书</w:t>
      </w:r>
      <w:r>
        <w:rPr>
          <w:rFonts w:hint="eastAsia" w:ascii="仿宋_GB2312" w:eastAsia="仿宋_GB2312"/>
          <w:color w:val="auto"/>
          <w:sz w:val="24"/>
          <w:szCs w:val="24"/>
        </w:rPr>
        <w:t>》</w:t>
      </w:r>
      <w:r>
        <w:rPr>
          <w:rFonts w:hint="eastAsia" w:ascii="仿宋_GB2312" w:eastAsia="仿宋_GB2312"/>
          <w:color w:val="auto"/>
          <w:sz w:val="24"/>
          <w:szCs w:val="24"/>
          <w:lang w:eastAsia="zh-Hans"/>
        </w:rPr>
        <w:t>、《</w:t>
      </w:r>
      <w:r>
        <w:rPr>
          <w:rFonts w:hint="eastAsia" w:ascii="仿宋_GB2312" w:eastAsia="仿宋_GB2312"/>
          <w:color w:val="auto"/>
          <w:sz w:val="24"/>
          <w:szCs w:val="24"/>
          <w:lang w:val="en-US" w:eastAsia="zh-Hans"/>
        </w:rPr>
        <w:t>风险揭示书》、《投资者权益须知</w:t>
      </w:r>
      <w:r>
        <w:rPr>
          <w:rFonts w:hint="eastAsia" w:ascii="仿宋_GB2312" w:eastAsia="仿宋_GB2312"/>
          <w:color w:val="auto"/>
          <w:sz w:val="24"/>
          <w:szCs w:val="24"/>
          <w:lang w:eastAsia="zh-Hans"/>
        </w:rPr>
        <w:t>》、《</w:t>
      </w:r>
      <w:r>
        <w:rPr>
          <w:rFonts w:hint="eastAsia" w:ascii="仿宋_GB2312" w:eastAsia="仿宋_GB2312"/>
          <w:color w:val="auto"/>
          <w:sz w:val="24"/>
          <w:szCs w:val="24"/>
          <w:lang w:val="en-US" w:eastAsia="zh-Hans"/>
        </w:rPr>
        <w:t>产品说明书</w:t>
      </w:r>
      <w:r>
        <w:rPr>
          <w:rFonts w:hint="eastAsia" w:ascii="仿宋_GB2312" w:eastAsia="仿宋_GB2312"/>
          <w:color w:val="auto"/>
          <w:sz w:val="24"/>
          <w:szCs w:val="24"/>
          <w:lang w:eastAsia="zh-Hans"/>
        </w:rPr>
        <w:t>》</w:t>
      </w:r>
      <w:r>
        <w:rPr>
          <w:rFonts w:hint="eastAsia" w:ascii="仿宋_GB2312" w:hAnsi="方正仿宋_GBK" w:eastAsia="仿宋_GB2312" w:cs="方正仿宋_GBK"/>
          <w:color w:val="auto"/>
          <w:sz w:val="24"/>
          <w:szCs w:val="24"/>
        </w:rPr>
        <w:t>等相关文件→前往柜面或机具进行购买操作→</w:t>
      </w:r>
      <w:r>
        <w:rPr>
          <w:rFonts w:hint="eastAsia" w:ascii="仿宋_GB2312" w:eastAsia="仿宋_GB2312"/>
          <w:color w:val="auto"/>
          <w:sz w:val="24"/>
          <w:szCs w:val="24"/>
        </w:rPr>
        <w:t>理财产品购买操作结束</w:t>
      </w:r>
      <w:r>
        <w:rPr>
          <w:rFonts w:hint="eastAsia" w:ascii="仿宋_GB2312" w:eastAsia="仿宋_GB2312"/>
          <w:color w:val="auto"/>
          <w:sz w:val="24"/>
          <w:szCs w:val="24"/>
          <w:lang w:eastAsia="zh-Hans"/>
        </w:rPr>
        <w:t>。</w:t>
      </w:r>
    </w:p>
    <w:p>
      <w:pPr>
        <w:spacing w:line="360" w:lineRule="auto"/>
        <w:ind w:firstLine="480" w:firstLineChars="200"/>
        <w:rPr>
          <w:rFonts w:ascii="仿宋_GB2312" w:eastAsia="仿宋_GB2312"/>
          <w:color w:val="auto"/>
          <w:sz w:val="24"/>
          <w:szCs w:val="24"/>
        </w:rPr>
      </w:pPr>
      <w:r>
        <w:rPr>
          <w:rFonts w:hint="eastAsia" w:ascii="仿宋_GB2312" w:eastAsia="仿宋_GB2312"/>
          <w:color w:val="auto"/>
          <w:sz w:val="24"/>
          <w:szCs w:val="24"/>
        </w:rPr>
        <w:t>（二）</w:t>
      </w:r>
      <w:r>
        <w:rPr>
          <w:rFonts w:hint="eastAsia" w:ascii="仿宋_GB2312" w:eastAsia="仿宋_GB2312"/>
          <w:color w:val="auto"/>
          <w:sz w:val="24"/>
          <w:szCs w:val="24"/>
          <w:lang w:val="en-US" w:eastAsia="zh-Hans"/>
        </w:rPr>
        <w:t>华夏</w:t>
      </w:r>
      <w:r>
        <w:rPr>
          <w:rFonts w:hint="eastAsia" w:ascii="仿宋_GB2312" w:eastAsia="仿宋_GB2312"/>
          <w:color w:val="auto"/>
          <w:sz w:val="24"/>
          <w:szCs w:val="24"/>
        </w:rPr>
        <w:t>银行网上银行</w:t>
      </w:r>
    </w:p>
    <w:p>
      <w:pPr>
        <w:spacing w:line="360" w:lineRule="auto"/>
        <w:ind w:firstLine="480" w:firstLineChars="200"/>
        <w:rPr>
          <w:rFonts w:hint="eastAsia" w:ascii="仿宋_GB2312" w:eastAsia="仿宋_GB2312"/>
          <w:color w:val="auto"/>
          <w:sz w:val="24"/>
          <w:szCs w:val="24"/>
          <w:lang w:eastAsia="zh-Hans"/>
        </w:rPr>
      </w:pPr>
      <w:r>
        <w:rPr>
          <w:rFonts w:hint="eastAsia" w:ascii="仿宋_GB2312" w:hAnsi="方正仿宋_GBK" w:eastAsia="仿宋_GB2312" w:cs="方正仿宋_GBK"/>
          <w:color w:val="auto"/>
          <w:sz w:val="24"/>
          <w:szCs w:val="24"/>
        </w:rPr>
        <w:t>个人投资者登录网上银行→选择理财产品，查看产品信息→点击“购买”→阅读</w:t>
      </w:r>
      <w:r>
        <w:rPr>
          <w:rFonts w:hint="eastAsia" w:ascii="仿宋_GB2312" w:eastAsia="仿宋_GB2312"/>
          <w:color w:val="auto"/>
          <w:sz w:val="24"/>
          <w:szCs w:val="24"/>
        </w:rPr>
        <w:t>《产品</w:t>
      </w:r>
      <w:r>
        <w:rPr>
          <w:rFonts w:hint="eastAsia" w:ascii="仿宋_GB2312" w:eastAsia="仿宋_GB2312"/>
          <w:color w:val="auto"/>
          <w:sz w:val="24"/>
          <w:szCs w:val="24"/>
          <w:lang w:val="en-US" w:eastAsia="zh-Hans"/>
        </w:rPr>
        <w:t>说明书</w:t>
      </w:r>
      <w:r>
        <w:rPr>
          <w:rFonts w:hint="eastAsia" w:ascii="仿宋_GB2312" w:eastAsia="仿宋_GB2312"/>
          <w:color w:val="auto"/>
          <w:sz w:val="24"/>
          <w:szCs w:val="24"/>
        </w:rPr>
        <w:t>》、《</w:t>
      </w:r>
      <w:r>
        <w:rPr>
          <w:rFonts w:hint="eastAsia" w:ascii="仿宋_GB2312" w:eastAsia="仿宋_GB2312"/>
          <w:color w:val="auto"/>
          <w:sz w:val="24"/>
          <w:szCs w:val="24"/>
          <w:lang w:val="en-US" w:eastAsia="zh-Hans"/>
        </w:rPr>
        <w:t>华夏银行代理销售个人理财产品协议书</w:t>
      </w:r>
      <w:r>
        <w:rPr>
          <w:rFonts w:hint="eastAsia" w:ascii="仿宋_GB2312" w:eastAsia="仿宋_GB2312"/>
          <w:color w:val="auto"/>
          <w:sz w:val="24"/>
          <w:szCs w:val="24"/>
        </w:rPr>
        <w:t>》、《代理销售理财产品</w:t>
      </w:r>
      <w:r>
        <w:rPr>
          <w:rFonts w:hint="eastAsia" w:ascii="仿宋_GB2312" w:eastAsia="仿宋_GB2312"/>
          <w:color w:val="auto"/>
          <w:sz w:val="24"/>
          <w:szCs w:val="24"/>
          <w:lang w:val="en-US" w:eastAsia="zh-Hans"/>
        </w:rPr>
        <w:t>投资协议书</w:t>
      </w:r>
      <w:r>
        <w:rPr>
          <w:rFonts w:hint="eastAsia" w:ascii="仿宋_GB2312" w:eastAsia="仿宋_GB2312"/>
          <w:color w:val="auto"/>
          <w:sz w:val="24"/>
          <w:szCs w:val="24"/>
        </w:rPr>
        <w:t>》</w:t>
      </w:r>
      <w:r>
        <w:rPr>
          <w:rFonts w:hint="eastAsia" w:ascii="仿宋_GB2312" w:eastAsia="仿宋_GB2312"/>
          <w:color w:val="auto"/>
          <w:sz w:val="24"/>
          <w:szCs w:val="24"/>
          <w:lang w:eastAsia="zh-Hans"/>
        </w:rPr>
        <w:t>、《</w:t>
      </w:r>
      <w:r>
        <w:rPr>
          <w:rFonts w:hint="eastAsia" w:ascii="仿宋_GB2312" w:eastAsia="仿宋_GB2312"/>
          <w:color w:val="auto"/>
          <w:sz w:val="24"/>
          <w:szCs w:val="24"/>
          <w:lang w:val="en-US" w:eastAsia="zh-Hans"/>
        </w:rPr>
        <w:t>风险揭示书》、《投资者权益须知</w:t>
      </w:r>
      <w:r>
        <w:rPr>
          <w:rFonts w:hint="eastAsia" w:ascii="仿宋_GB2312" w:eastAsia="仿宋_GB2312"/>
          <w:color w:val="auto"/>
          <w:sz w:val="24"/>
          <w:szCs w:val="24"/>
          <w:lang w:eastAsia="zh-Hans"/>
        </w:rPr>
        <w:t>》</w:t>
      </w:r>
      <w:r>
        <w:rPr>
          <w:rFonts w:hint="eastAsia" w:ascii="仿宋_GB2312" w:hAnsi="方正仿宋_GBK" w:eastAsia="仿宋_GB2312" w:cs="方正仿宋_GBK"/>
          <w:color w:val="auto"/>
          <w:sz w:val="24"/>
          <w:szCs w:val="24"/>
        </w:rPr>
        <w:t>→</w:t>
      </w:r>
      <w:r>
        <w:rPr>
          <w:rFonts w:hint="eastAsia" w:ascii="仿宋_GB2312" w:hAnsi="方正仿宋_GBK" w:eastAsia="仿宋_GB2312" w:cs="方正仿宋_GBK"/>
          <w:color w:val="auto"/>
          <w:sz w:val="24"/>
          <w:szCs w:val="24"/>
          <w:lang w:val="en-US" w:eastAsia="zh-Hans"/>
        </w:rPr>
        <w:t>点击</w:t>
      </w:r>
      <w:r>
        <w:rPr>
          <w:rFonts w:hint="eastAsia" w:ascii="仿宋_GB2312" w:hAnsi="方正仿宋_GBK" w:eastAsia="仿宋_GB2312" w:cs="方正仿宋_GBK"/>
          <w:color w:val="auto"/>
          <w:sz w:val="24"/>
          <w:szCs w:val="24"/>
        </w:rPr>
        <w:t>“</w:t>
      </w:r>
      <w:r>
        <w:rPr>
          <w:rFonts w:hint="eastAsia" w:ascii="仿宋_GB2312" w:hAnsi="方正仿宋_GBK" w:eastAsia="仿宋_GB2312" w:cs="方正仿宋_GBK"/>
          <w:color w:val="auto"/>
          <w:sz w:val="24"/>
          <w:szCs w:val="24"/>
          <w:lang w:val="en-US" w:eastAsia="zh-Hans"/>
        </w:rPr>
        <w:t>确认并同意相关内容</w:t>
      </w:r>
      <w:r>
        <w:rPr>
          <w:rFonts w:hint="eastAsia" w:ascii="仿宋_GB2312" w:hAnsi="方正仿宋_GBK" w:eastAsia="仿宋_GB2312" w:cs="方正仿宋_GBK"/>
          <w:color w:val="auto"/>
          <w:sz w:val="24"/>
          <w:szCs w:val="24"/>
        </w:rPr>
        <w:t>”→</w:t>
      </w:r>
      <w:r>
        <w:rPr>
          <w:rFonts w:hint="eastAsia" w:ascii="仿宋_GB2312" w:hAnsi="方正仿宋_GBK" w:eastAsia="仿宋_GB2312" w:cs="方正仿宋_GBK"/>
          <w:color w:val="auto"/>
          <w:sz w:val="24"/>
          <w:szCs w:val="24"/>
          <w:lang w:val="en-US" w:eastAsia="zh-Hans"/>
        </w:rPr>
        <w:t>输入购买金额</w:t>
      </w:r>
      <w:r>
        <w:rPr>
          <w:rFonts w:hint="eastAsia" w:ascii="仿宋_GB2312" w:hAnsi="方正仿宋_GBK" w:eastAsia="仿宋_GB2312" w:cs="方正仿宋_GBK"/>
          <w:color w:val="auto"/>
          <w:sz w:val="24"/>
          <w:szCs w:val="24"/>
        </w:rPr>
        <w:t>→点击“</w:t>
      </w:r>
      <w:r>
        <w:rPr>
          <w:rFonts w:hint="eastAsia" w:ascii="仿宋_GB2312" w:hAnsi="方正仿宋_GBK" w:eastAsia="仿宋_GB2312" w:cs="方正仿宋_GBK"/>
          <w:color w:val="auto"/>
          <w:sz w:val="24"/>
          <w:szCs w:val="24"/>
          <w:lang w:val="en-US" w:eastAsia="zh-Hans"/>
        </w:rPr>
        <w:t>立即购买</w:t>
      </w:r>
      <w:r>
        <w:rPr>
          <w:rFonts w:hint="eastAsia" w:ascii="仿宋_GB2312" w:hAnsi="方正仿宋_GBK" w:eastAsia="仿宋_GB2312" w:cs="方正仿宋_GBK"/>
          <w:color w:val="auto"/>
          <w:sz w:val="24"/>
          <w:szCs w:val="24"/>
        </w:rPr>
        <w:t>”</w:t>
      </w:r>
      <w:r>
        <w:rPr>
          <w:rFonts w:hint="eastAsia" w:ascii="仿宋_GB2312" w:hAnsi="方正仿宋_GBK" w:eastAsia="仿宋_GB2312" w:cs="方正仿宋_GBK"/>
          <w:color w:val="auto"/>
          <w:sz w:val="24"/>
          <w:szCs w:val="24"/>
          <w:lang w:val="en-US" w:eastAsia="zh-Hans"/>
        </w:rPr>
        <w:t>并确认</w:t>
      </w:r>
      <w:r>
        <w:rPr>
          <w:rFonts w:hint="eastAsia" w:ascii="仿宋_GB2312" w:hAnsi="方正仿宋_GBK" w:eastAsia="仿宋_GB2312" w:cs="方正仿宋_GBK"/>
          <w:color w:val="auto"/>
          <w:sz w:val="24"/>
          <w:szCs w:val="24"/>
        </w:rPr>
        <w:t>→</w:t>
      </w:r>
      <w:r>
        <w:rPr>
          <w:rFonts w:hint="eastAsia" w:ascii="仿宋_GB2312" w:eastAsia="仿宋_GB2312"/>
          <w:color w:val="auto"/>
          <w:sz w:val="24"/>
          <w:szCs w:val="24"/>
        </w:rPr>
        <w:t>理财产品购买操作结束</w:t>
      </w:r>
      <w:r>
        <w:rPr>
          <w:rFonts w:hint="eastAsia" w:ascii="仿宋_GB2312" w:eastAsia="仿宋_GB2312"/>
          <w:color w:val="auto"/>
          <w:sz w:val="24"/>
          <w:szCs w:val="24"/>
          <w:lang w:eastAsia="zh-Hans"/>
        </w:rPr>
        <w:t>。</w:t>
      </w:r>
    </w:p>
    <w:p>
      <w:pPr>
        <w:spacing w:line="360" w:lineRule="auto"/>
        <w:ind w:firstLine="480" w:firstLineChars="200"/>
        <w:rPr>
          <w:rFonts w:ascii="仿宋_GB2312" w:eastAsia="仿宋_GB2312"/>
          <w:color w:val="auto"/>
          <w:sz w:val="24"/>
          <w:szCs w:val="24"/>
        </w:rPr>
      </w:pPr>
      <w:r>
        <w:rPr>
          <w:rFonts w:hint="eastAsia" w:ascii="仿宋_GB2312" w:eastAsia="仿宋_GB2312"/>
          <w:color w:val="auto"/>
          <w:sz w:val="24"/>
          <w:szCs w:val="24"/>
        </w:rPr>
        <w:t>（三）</w:t>
      </w:r>
      <w:r>
        <w:rPr>
          <w:rFonts w:hint="eastAsia" w:ascii="仿宋_GB2312" w:eastAsia="仿宋_GB2312"/>
          <w:color w:val="auto"/>
          <w:sz w:val="24"/>
          <w:szCs w:val="24"/>
          <w:lang w:val="en-US" w:eastAsia="zh-Hans"/>
        </w:rPr>
        <w:t>华夏</w:t>
      </w:r>
      <w:r>
        <w:rPr>
          <w:rFonts w:hint="eastAsia" w:ascii="仿宋_GB2312" w:eastAsia="仿宋_GB2312"/>
          <w:color w:val="auto"/>
          <w:sz w:val="24"/>
          <w:szCs w:val="24"/>
        </w:rPr>
        <w:t>银行手机银行</w:t>
      </w:r>
    </w:p>
    <w:p>
      <w:pPr>
        <w:spacing w:line="360" w:lineRule="auto"/>
        <w:ind w:firstLine="480" w:firstLineChars="200"/>
        <w:rPr>
          <w:rFonts w:hint="eastAsia" w:ascii="仿宋_GB2312" w:eastAsiaTheme="minorEastAsia"/>
          <w:color w:val="auto"/>
          <w:sz w:val="24"/>
          <w:szCs w:val="24"/>
          <w:lang w:eastAsia="zh-Hans"/>
        </w:rPr>
      </w:pPr>
      <w:r>
        <w:rPr>
          <w:rFonts w:hint="eastAsia" w:ascii="仿宋_GB2312" w:hAnsi="方正仿宋_GBK" w:eastAsia="仿宋_GB2312" w:cs="方正仿宋_GBK"/>
          <w:color w:val="auto"/>
          <w:sz w:val="24"/>
          <w:szCs w:val="24"/>
        </w:rPr>
        <w:t>个人投资者登录手机银行→选择理财产品，查看产品信息→点击“购买”→阅读</w:t>
      </w:r>
      <w:r>
        <w:rPr>
          <w:rFonts w:hint="eastAsia" w:ascii="仿宋_GB2312" w:eastAsia="仿宋_GB2312"/>
          <w:color w:val="auto"/>
          <w:sz w:val="24"/>
          <w:szCs w:val="24"/>
        </w:rPr>
        <w:t>《产品</w:t>
      </w:r>
      <w:r>
        <w:rPr>
          <w:rFonts w:hint="eastAsia" w:ascii="仿宋_GB2312" w:eastAsia="仿宋_GB2312"/>
          <w:color w:val="auto"/>
          <w:sz w:val="24"/>
          <w:szCs w:val="24"/>
          <w:lang w:val="en-US" w:eastAsia="zh-Hans"/>
        </w:rPr>
        <w:t>说明书</w:t>
      </w:r>
      <w:r>
        <w:rPr>
          <w:rFonts w:hint="eastAsia" w:ascii="仿宋_GB2312" w:eastAsia="仿宋_GB2312"/>
          <w:color w:val="auto"/>
          <w:sz w:val="24"/>
          <w:szCs w:val="24"/>
        </w:rPr>
        <w:t>》、《</w:t>
      </w:r>
      <w:r>
        <w:rPr>
          <w:rFonts w:hint="eastAsia" w:ascii="仿宋_GB2312" w:eastAsia="仿宋_GB2312"/>
          <w:color w:val="auto"/>
          <w:sz w:val="24"/>
          <w:szCs w:val="24"/>
          <w:lang w:val="en-US" w:eastAsia="zh-Hans"/>
        </w:rPr>
        <w:t>华夏银行代理销售个人理财产品协议书</w:t>
      </w:r>
      <w:r>
        <w:rPr>
          <w:rFonts w:hint="eastAsia" w:ascii="仿宋_GB2312" w:eastAsia="仿宋_GB2312"/>
          <w:color w:val="auto"/>
          <w:sz w:val="24"/>
          <w:szCs w:val="24"/>
        </w:rPr>
        <w:t>》、《代理销售理财产品</w:t>
      </w:r>
      <w:r>
        <w:rPr>
          <w:rFonts w:hint="eastAsia" w:ascii="仿宋_GB2312" w:eastAsia="仿宋_GB2312"/>
          <w:color w:val="auto"/>
          <w:sz w:val="24"/>
          <w:szCs w:val="24"/>
          <w:lang w:val="en-US" w:eastAsia="zh-Hans"/>
        </w:rPr>
        <w:t>投资协议书</w:t>
      </w:r>
      <w:r>
        <w:rPr>
          <w:rFonts w:hint="eastAsia" w:ascii="仿宋_GB2312" w:eastAsia="仿宋_GB2312"/>
          <w:color w:val="auto"/>
          <w:sz w:val="24"/>
          <w:szCs w:val="24"/>
        </w:rPr>
        <w:t>》</w:t>
      </w:r>
      <w:r>
        <w:rPr>
          <w:rFonts w:hint="eastAsia" w:ascii="仿宋_GB2312" w:eastAsia="仿宋_GB2312"/>
          <w:color w:val="auto"/>
          <w:sz w:val="24"/>
          <w:szCs w:val="24"/>
          <w:lang w:eastAsia="zh-Hans"/>
        </w:rPr>
        <w:t>、《</w:t>
      </w:r>
      <w:r>
        <w:rPr>
          <w:rFonts w:hint="eastAsia" w:ascii="仿宋_GB2312" w:eastAsia="仿宋_GB2312"/>
          <w:color w:val="auto"/>
          <w:sz w:val="24"/>
          <w:szCs w:val="24"/>
          <w:lang w:val="en-US" w:eastAsia="zh-Hans"/>
        </w:rPr>
        <w:t>风险揭示书》、《投资者权益须知</w:t>
      </w:r>
      <w:r>
        <w:rPr>
          <w:rFonts w:hint="eastAsia" w:ascii="仿宋_GB2312" w:eastAsia="仿宋_GB2312"/>
          <w:color w:val="auto"/>
          <w:sz w:val="24"/>
          <w:szCs w:val="24"/>
          <w:lang w:eastAsia="zh-Hans"/>
        </w:rPr>
        <w:t>》</w:t>
      </w:r>
      <w:r>
        <w:rPr>
          <w:rFonts w:hint="eastAsia" w:ascii="仿宋_GB2312" w:hAnsi="方正仿宋_GBK" w:eastAsia="仿宋_GB2312" w:cs="方正仿宋_GBK"/>
          <w:color w:val="auto"/>
          <w:sz w:val="24"/>
          <w:szCs w:val="24"/>
        </w:rPr>
        <w:t>→</w:t>
      </w:r>
      <w:r>
        <w:rPr>
          <w:rFonts w:hint="eastAsia" w:ascii="仿宋_GB2312" w:hAnsi="方正仿宋_GBK" w:eastAsia="仿宋_GB2312" w:cs="方正仿宋_GBK"/>
          <w:color w:val="auto"/>
          <w:sz w:val="24"/>
          <w:szCs w:val="24"/>
          <w:lang w:val="en-US" w:eastAsia="zh-Hans"/>
        </w:rPr>
        <w:t>点击</w:t>
      </w:r>
      <w:r>
        <w:rPr>
          <w:rFonts w:hint="eastAsia" w:ascii="仿宋_GB2312" w:hAnsi="方正仿宋_GBK" w:eastAsia="仿宋_GB2312" w:cs="方正仿宋_GBK"/>
          <w:color w:val="auto"/>
          <w:sz w:val="24"/>
          <w:szCs w:val="24"/>
        </w:rPr>
        <w:t>“</w:t>
      </w:r>
      <w:r>
        <w:rPr>
          <w:rFonts w:hint="eastAsia" w:ascii="仿宋_GB2312" w:hAnsi="方正仿宋_GBK" w:eastAsia="仿宋_GB2312" w:cs="方正仿宋_GBK"/>
          <w:color w:val="auto"/>
          <w:sz w:val="24"/>
          <w:szCs w:val="24"/>
          <w:lang w:val="en-US" w:eastAsia="zh-Hans"/>
        </w:rPr>
        <w:t>确认并同意相关内容</w:t>
      </w:r>
      <w:r>
        <w:rPr>
          <w:rFonts w:hint="eastAsia" w:ascii="仿宋_GB2312" w:hAnsi="方正仿宋_GBK" w:eastAsia="仿宋_GB2312" w:cs="方正仿宋_GBK"/>
          <w:color w:val="auto"/>
          <w:sz w:val="24"/>
          <w:szCs w:val="24"/>
        </w:rPr>
        <w:t>”→</w:t>
      </w:r>
      <w:r>
        <w:rPr>
          <w:rFonts w:hint="eastAsia" w:ascii="仿宋_GB2312" w:hAnsi="方正仿宋_GBK" w:eastAsia="仿宋_GB2312" w:cs="方正仿宋_GBK"/>
          <w:color w:val="auto"/>
          <w:sz w:val="24"/>
          <w:szCs w:val="24"/>
          <w:lang w:val="en-US" w:eastAsia="zh-Hans"/>
        </w:rPr>
        <w:t>输入购买金额</w:t>
      </w:r>
      <w:r>
        <w:rPr>
          <w:rFonts w:hint="eastAsia" w:ascii="仿宋_GB2312" w:hAnsi="方正仿宋_GBK" w:eastAsia="仿宋_GB2312" w:cs="方正仿宋_GBK"/>
          <w:color w:val="auto"/>
          <w:sz w:val="24"/>
          <w:szCs w:val="24"/>
        </w:rPr>
        <w:t>→点击“确定”→</w:t>
      </w:r>
      <w:r>
        <w:rPr>
          <w:rFonts w:hint="eastAsia" w:ascii="仿宋_GB2312" w:eastAsia="仿宋_GB2312"/>
          <w:color w:val="auto"/>
          <w:sz w:val="24"/>
          <w:szCs w:val="24"/>
        </w:rPr>
        <w:t>理财产品购买操作结束</w:t>
      </w:r>
      <w:r>
        <w:rPr>
          <w:rStyle w:val="12"/>
          <w:rFonts w:hint="eastAsia"/>
          <w:color w:val="auto"/>
          <w:lang w:eastAsia="zh-Hans"/>
        </w:rPr>
        <w:t>。</w:t>
      </w:r>
    </w:p>
    <w:p>
      <w:pPr>
        <w:spacing w:line="298" w:lineRule="auto"/>
        <w:ind w:left="142" w:right="161" w:firstLine="420" w:firstLineChars="200"/>
        <w:rPr>
          <w:color w:val="auto"/>
        </w:rPr>
      </w:pPr>
      <w:r>
        <w:rPr>
          <w:rFonts w:hint="eastAsia" w:ascii="Times New Roman"/>
          <w:color w:val="auto"/>
        </w:rPr>
        <w:t>（如</w:t>
      </w:r>
      <w:r>
        <w:rPr>
          <w:rFonts w:ascii="Times New Roman"/>
          <w:color w:val="auto"/>
        </w:rPr>
        <w:t>为私募理财产品，还需进行合格投资者评估。</w:t>
      </w:r>
      <w:r>
        <w:rPr>
          <w:rFonts w:hint="eastAsia" w:ascii="Times New Roman"/>
          <w:color w:val="auto"/>
        </w:rPr>
        <w:t>）</w:t>
      </w:r>
    </w:p>
    <w:p>
      <w:pPr>
        <w:spacing w:line="298" w:lineRule="auto"/>
        <w:ind w:left="105" w:leftChars="50" w:right="161" w:firstLine="562" w:firstLineChars="200"/>
        <w:rPr>
          <w:rFonts w:ascii="仿宋" w:hAnsi="仿宋" w:eastAsia="仿宋"/>
          <w:b/>
          <w:bCs/>
          <w:color w:val="auto"/>
          <w:sz w:val="28"/>
          <w:szCs w:val="28"/>
        </w:rPr>
      </w:pPr>
      <w:r>
        <w:rPr>
          <w:rFonts w:hint="eastAsia" w:ascii="仿宋" w:hAnsi="仿宋" w:eastAsia="仿宋"/>
          <w:b/>
          <w:bCs/>
          <w:color w:val="auto"/>
          <w:sz w:val="28"/>
          <w:szCs w:val="28"/>
        </w:rPr>
        <w:t>第三步</w:t>
      </w:r>
      <w:r>
        <w:rPr>
          <w:rFonts w:ascii="仿宋" w:hAnsi="仿宋" w:eastAsia="仿宋"/>
          <w:b/>
          <w:bCs/>
          <w:color w:val="auto"/>
          <w:sz w:val="28"/>
          <w:szCs w:val="28"/>
        </w:rPr>
        <w:t xml:space="preserve"> </w:t>
      </w:r>
      <w:r>
        <w:rPr>
          <w:rFonts w:hint="eastAsia" w:ascii="仿宋" w:hAnsi="仿宋" w:eastAsia="仿宋"/>
          <w:b/>
          <w:bCs/>
          <w:color w:val="auto"/>
          <w:sz w:val="28"/>
          <w:szCs w:val="28"/>
        </w:rPr>
        <w:t>了解理财产品的信息披露方式、渠道和频率</w:t>
      </w:r>
    </w:p>
    <w:p>
      <w:pPr>
        <w:spacing w:line="298" w:lineRule="auto"/>
        <w:ind w:left="142" w:right="161" w:firstLine="560" w:firstLineChars="200"/>
        <w:rPr>
          <w:rFonts w:ascii="仿宋" w:hAnsi="仿宋" w:eastAsia="仿宋"/>
          <w:color w:val="auto"/>
          <w:sz w:val="28"/>
          <w:szCs w:val="28"/>
          <w:highlight w:val="none"/>
        </w:rPr>
      </w:pPr>
      <w:r>
        <w:rPr>
          <w:rFonts w:hint="eastAsia" w:ascii="仿宋" w:hAnsi="仿宋" w:eastAsia="仿宋"/>
          <w:color w:val="auto"/>
          <w:sz w:val="28"/>
          <w:szCs w:val="28"/>
        </w:rPr>
        <w:t>有关产品相关</w:t>
      </w:r>
      <w:r>
        <w:rPr>
          <w:rFonts w:hint="eastAsia" w:ascii="仿宋" w:hAnsi="仿宋" w:eastAsia="仿宋"/>
          <w:color w:val="auto"/>
          <w:sz w:val="28"/>
          <w:szCs w:val="28"/>
          <w:highlight w:val="none"/>
        </w:rPr>
        <w:t>信息的披露方式、渠道和频率，您可根据《产品说明书》中所载明的</w:t>
      </w:r>
      <w:r>
        <w:rPr>
          <w:rFonts w:ascii="仿宋" w:hAnsi="仿宋" w:eastAsia="仿宋"/>
          <w:color w:val="auto"/>
          <w:sz w:val="28"/>
          <w:szCs w:val="28"/>
          <w:highlight w:val="none"/>
        </w:rPr>
        <w:t>“</w:t>
      </w:r>
      <w:r>
        <w:rPr>
          <w:rFonts w:hint="eastAsia" w:ascii="仿宋" w:hAnsi="仿宋" w:eastAsia="仿宋"/>
          <w:color w:val="auto"/>
          <w:sz w:val="28"/>
          <w:szCs w:val="28"/>
          <w:highlight w:val="none"/>
        </w:rPr>
        <w:t>信息公告</w:t>
      </w:r>
      <w:r>
        <w:rPr>
          <w:rFonts w:ascii="仿宋" w:hAnsi="仿宋" w:eastAsia="仿宋"/>
          <w:color w:val="auto"/>
          <w:sz w:val="28"/>
          <w:szCs w:val="28"/>
          <w:highlight w:val="none"/>
        </w:rPr>
        <w:t>”</w:t>
      </w:r>
      <w:r>
        <w:rPr>
          <w:rFonts w:hint="eastAsia" w:ascii="仿宋" w:hAnsi="仿宋" w:eastAsia="仿宋"/>
          <w:color w:val="auto"/>
          <w:sz w:val="28"/>
          <w:szCs w:val="28"/>
          <w:highlight w:val="none"/>
        </w:rPr>
        <w:t>约定，及时登录销售服务</w:t>
      </w:r>
      <w:r>
        <w:rPr>
          <w:rFonts w:ascii="仿宋" w:hAnsi="仿宋" w:eastAsia="仿宋"/>
          <w:color w:val="auto"/>
          <w:sz w:val="28"/>
          <w:szCs w:val="28"/>
          <w:highlight w:val="none"/>
        </w:rPr>
        <w:t>机构</w:t>
      </w:r>
      <w:r>
        <w:rPr>
          <w:rFonts w:hint="default" w:ascii="仿宋" w:hAnsi="仿宋" w:eastAsia="仿宋"/>
          <w:color w:val="auto"/>
          <w:sz w:val="28"/>
          <w:szCs w:val="28"/>
          <w:highlight w:val="none"/>
        </w:rPr>
        <w:t>华夏银行</w:t>
      </w:r>
      <w:r>
        <w:rPr>
          <w:rFonts w:hint="eastAsia" w:ascii="仿宋" w:hAnsi="仿宋" w:eastAsia="仿宋"/>
          <w:color w:val="auto"/>
          <w:sz w:val="28"/>
          <w:szCs w:val="28"/>
          <w:highlight w:val="none"/>
        </w:rPr>
        <w:t>网站或致电</w:t>
      </w:r>
      <w:r>
        <w:rPr>
          <w:rFonts w:hint="default" w:ascii="仿宋" w:hAnsi="仿宋" w:eastAsia="仿宋"/>
          <w:color w:val="auto"/>
          <w:sz w:val="28"/>
          <w:szCs w:val="28"/>
          <w:highlight w:val="none"/>
        </w:rPr>
        <w:t>华夏银行</w:t>
      </w:r>
      <w:r>
        <w:rPr>
          <w:rFonts w:hint="eastAsia" w:ascii="仿宋" w:hAnsi="仿宋" w:eastAsia="仿宋"/>
          <w:color w:val="auto"/>
          <w:sz w:val="28"/>
          <w:szCs w:val="28"/>
          <w:highlight w:val="none"/>
        </w:rPr>
        <w:t>全国统一客户服务热线（</w:t>
      </w:r>
      <w:r>
        <w:rPr>
          <w:rFonts w:ascii="仿宋" w:hAnsi="仿宋" w:eastAsia="仿宋"/>
          <w:color w:val="auto"/>
          <w:sz w:val="28"/>
          <w:szCs w:val="28"/>
          <w:highlight w:val="none"/>
        </w:rPr>
        <w:t>95577</w:t>
      </w:r>
      <w:r>
        <w:rPr>
          <w:rFonts w:hint="eastAsia" w:ascii="仿宋" w:hAnsi="仿宋" w:eastAsia="仿宋"/>
          <w:color w:val="auto"/>
          <w:sz w:val="28"/>
          <w:szCs w:val="28"/>
          <w:highlight w:val="none"/>
        </w:rPr>
        <w:t>）或到</w:t>
      </w:r>
      <w:r>
        <w:rPr>
          <w:rFonts w:hint="default" w:ascii="仿宋" w:hAnsi="仿宋" w:eastAsia="仿宋"/>
          <w:color w:val="auto"/>
          <w:sz w:val="28"/>
          <w:szCs w:val="28"/>
          <w:highlight w:val="none"/>
        </w:rPr>
        <w:t>华夏银行</w:t>
      </w:r>
      <w:r>
        <w:rPr>
          <w:rFonts w:hint="eastAsia" w:ascii="仿宋" w:hAnsi="仿宋" w:eastAsia="仿宋"/>
          <w:color w:val="auto"/>
          <w:sz w:val="28"/>
          <w:szCs w:val="28"/>
          <w:highlight w:val="none"/>
        </w:rPr>
        <w:t>营业网点进行查询。</w:t>
      </w:r>
    </w:p>
    <w:p>
      <w:pPr>
        <w:pStyle w:val="18"/>
        <w:numPr>
          <w:ilvl w:val="0"/>
          <w:numId w:val="1"/>
        </w:numPr>
        <w:spacing w:before="30" w:line="298" w:lineRule="auto"/>
        <w:ind w:left="567" w:right="1503" w:hanging="567" w:firstLineChars="0"/>
        <w:rPr>
          <w:rFonts w:ascii="仿宋" w:hAnsi="仿宋" w:eastAsia="仿宋"/>
          <w:b/>
          <w:color w:val="auto"/>
          <w:sz w:val="28"/>
          <w:szCs w:val="28"/>
          <w:highlight w:val="none"/>
        </w:rPr>
      </w:pPr>
      <w:r>
        <w:rPr>
          <w:rFonts w:hint="eastAsia" w:ascii="仿宋" w:hAnsi="仿宋" w:eastAsia="仿宋"/>
          <w:b/>
          <w:color w:val="auto"/>
          <w:sz w:val="28"/>
          <w:szCs w:val="28"/>
          <w:highlight w:val="none"/>
        </w:rPr>
        <w:t>投资者对银行理财产品的投诉方式和程序</w:t>
      </w:r>
    </w:p>
    <w:p>
      <w:pPr>
        <w:widowControl/>
        <w:spacing w:line="360" w:lineRule="auto"/>
        <w:ind w:firstLine="600"/>
        <w:rPr>
          <w:rFonts w:ascii="仿宋" w:hAnsi="仿宋" w:eastAsia="仿宋"/>
          <w:color w:val="auto"/>
          <w:sz w:val="28"/>
          <w:szCs w:val="28"/>
          <w:highlight w:val="none"/>
        </w:rPr>
      </w:pPr>
      <w:r>
        <w:rPr>
          <w:rFonts w:hint="eastAsia" w:ascii="仿宋" w:hAnsi="仿宋" w:eastAsia="仿宋"/>
          <w:color w:val="auto"/>
          <w:sz w:val="28"/>
          <w:szCs w:val="28"/>
          <w:highlight w:val="none"/>
        </w:rPr>
        <w:t>如您对本理财产品、招银理财有限责任公司以及</w:t>
      </w:r>
      <w:r>
        <w:rPr>
          <w:rFonts w:hint="default" w:ascii="仿宋" w:hAnsi="仿宋" w:eastAsia="仿宋"/>
          <w:color w:val="auto"/>
          <w:sz w:val="28"/>
          <w:szCs w:val="28"/>
          <w:highlight w:val="none"/>
        </w:rPr>
        <w:t>华夏银行</w:t>
      </w:r>
      <w:r>
        <w:rPr>
          <w:rFonts w:hint="eastAsia" w:ascii="仿宋" w:hAnsi="仿宋" w:eastAsia="仿宋"/>
          <w:color w:val="auto"/>
          <w:sz w:val="28"/>
          <w:szCs w:val="28"/>
          <w:highlight w:val="none"/>
        </w:rPr>
        <w:t>服务有任何意见和建议，可通过</w:t>
      </w:r>
      <w:r>
        <w:rPr>
          <w:rFonts w:hint="default" w:ascii="仿宋" w:hAnsi="仿宋" w:eastAsia="仿宋"/>
          <w:color w:val="auto"/>
          <w:sz w:val="28"/>
          <w:szCs w:val="28"/>
          <w:highlight w:val="none"/>
        </w:rPr>
        <w:t>华夏银行</w:t>
      </w:r>
      <w:r>
        <w:rPr>
          <w:rFonts w:hint="eastAsia" w:ascii="仿宋" w:hAnsi="仿宋" w:eastAsia="仿宋"/>
          <w:color w:val="auto"/>
          <w:sz w:val="28"/>
          <w:szCs w:val="28"/>
          <w:highlight w:val="none"/>
        </w:rPr>
        <w:t>营业网点工作人员、</w:t>
      </w:r>
      <w:r>
        <w:rPr>
          <w:rFonts w:ascii="仿宋" w:hAnsi="仿宋" w:eastAsia="仿宋"/>
          <w:color w:val="auto"/>
          <w:sz w:val="28"/>
          <w:szCs w:val="28"/>
          <w:highlight w:val="none"/>
        </w:rPr>
        <w:t>955</w:t>
      </w:r>
      <w:r>
        <w:rPr>
          <w:rFonts w:hint="default" w:ascii="仿宋" w:hAnsi="仿宋" w:eastAsia="仿宋"/>
          <w:color w:val="auto"/>
          <w:sz w:val="28"/>
          <w:szCs w:val="28"/>
          <w:highlight w:val="none"/>
        </w:rPr>
        <w:t>77</w:t>
      </w:r>
      <w:r>
        <w:rPr>
          <w:rFonts w:hint="eastAsia" w:ascii="仿宋" w:hAnsi="仿宋" w:eastAsia="仿宋"/>
          <w:color w:val="auto"/>
          <w:sz w:val="28"/>
          <w:szCs w:val="28"/>
          <w:highlight w:val="none"/>
        </w:rPr>
        <w:t>客户服务电话以及官</w:t>
      </w:r>
      <w:r>
        <w:rPr>
          <w:rFonts w:ascii="仿宋_GB2312" w:hAnsi="方正仿宋_GBK" w:eastAsia="仿宋_GB2312" w:cs="方正仿宋_GBK"/>
          <w:color w:val="auto"/>
          <w:kern w:val="0"/>
          <w:sz w:val="24"/>
          <w:szCs w:val="24"/>
          <w:highlight w:val="none"/>
        </w:rPr>
        <w:t>www.</w:t>
      </w:r>
      <w:r>
        <w:rPr>
          <w:rFonts w:hint="default" w:ascii="仿宋_GB2312" w:hAnsi="方正仿宋_GBK" w:eastAsia="仿宋_GB2312" w:cs="方正仿宋_GBK"/>
          <w:color w:val="auto"/>
          <w:kern w:val="0"/>
          <w:sz w:val="24"/>
          <w:szCs w:val="24"/>
          <w:highlight w:val="none"/>
        </w:rPr>
        <w:t>hxb</w:t>
      </w:r>
      <w:r>
        <w:rPr>
          <w:rFonts w:ascii="仿宋_GB2312" w:hAnsi="方正仿宋_GBK" w:eastAsia="仿宋_GB2312" w:cs="方正仿宋_GBK"/>
          <w:color w:val="auto"/>
          <w:kern w:val="0"/>
          <w:sz w:val="24"/>
          <w:szCs w:val="24"/>
          <w:highlight w:val="none"/>
        </w:rPr>
        <w:t>.com.cn</w:t>
      </w:r>
      <w:r>
        <w:rPr>
          <w:rFonts w:hint="eastAsia" w:ascii="仿宋" w:hAnsi="仿宋" w:eastAsia="仿宋"/>
          <w:color w:val="auto"/>
          <w:sz w:val="28"/>
          <w:szCs w:val="28"/>
          <w:highlight w:val="none"/>
        </w:rPr>
        <w:t>进行反映，</w:t>
      </w:r>
      <w:r>
        <w:rPr>
          <w:rFonts w:hint="default" w:ascii="仿宋" w:hAnsi="仿宋" w:eastAsia="仿宋"/>
          <w:color w:val="auto"/>
          <w:sz w:val="28"/>
          <w:szCs w:val="28"/>
          <w:highlight w:val="none"/>
        </w:rPr>
        <w:t>华夏银行</w:t>
      </w:r>
      <w:r>
        <w:rPr>
          <w:rFonts w:hint="eastAsia" w:ascii="仿宋" w:hAnsi="仿宋" w:eastAsia="仿宋"/>
          <w:color w:val="auto"/>
          <w:sz w:val="28"/>
          <w:szCs w:val="28"/>
          <w:highlight w:val="none"/>
        </w:rPr>
        <w:t>与招银理财有限责任公司将予以受理。</w:t>
      </w:r>
    </w:p>
    <w:p>
      <w:pPr>
        <w:pStyle w:val="18"/>
        <w:numPr>
          <w:ilvl w:val="0"/>
          <w:numId w:val="1"/>
        </w:numPr>
        <w:spacing w:before="30" w:line="298" w:lineRule="auto"/>
        <w:ind w:left="567" w:right="1503" w:hanging="567" w:firstLineChars="0"/>
        <w:rPr>
          <w:rFonts w:ascii="仿宋" w:hAnsi="仿宋" w:eastAsia="仿宋"/>
          <w:b/>
          <w:color w:val="auto"/>
          <w:sz w:val="28"/>
          <w:szCs w:val="28"/>
          <w:highlight w:val="none"/>
        </w:rPr>
      </w:pPr>
      <w:r>
        <w:rPr>
          <w:rFonts w:hint="eastAsia" w:ascii="仿宋" w:hAnsi="仿宋" w:eastAsia="仿宋"/>
          <w:b/>
          <w:color w:val="auto"/>
          <w:sz w:val="28"/>
          <w:szCs w:val="28"/>
          <w:highlight w:val="none"/>
        </w:rPr>
        <w:t>参与主体：</w:t>
      </w:r>
    </w:p>
    <w:p>
      <w:pPr>
        <w:widowControl/>
        <w:spacing w:line="360" w:lineRule="auto"/>
        <w:ind w:firstLine="600"/>
        <w:rPr>
          <w:rFonts w:ascii="仿宋" w:hAnsi="仿宋" w:eastAsia="仿宋"/>
          <w:color w:val="auto"/>
          <w:sz w:val="28"/>
          <w:szCs w:val="28"/>
          <w:highlight w:val="none"/>
        </w:rPr>
      </w:pPr>
      <w:r>
        <w:rPr>
          <w:rFonts w:hint="eastAsia" w:ascii="仿宋" w:hAnsi="仿宋" w:eastAsia="仿宋"/>
          <w:color w:val="auto"/>
          <w:sz w:val="28"/>
          <w:szCs w:val="28"/>
          <w:highlight w:val="none"/>
        </w:rPr>
        <w:t>产品管理人：招银理财有限责任公司</w:t>
      </w:r>
    </w:p>
    <w:p>
      <w:pPr>
        <w:widowControl/>
        <w:spacing w:line="360" w:lineRule="auto"/>
        <w:ind w:firstLine="600"/>
        <w:rPr>
          <w:rFonts w:hint="default" w:ascii="仿宋" w:hAnsi="仿宋" w:eastAsia="仿宋"/>
          <w:color w:val="auto"/>
          <w:sz w:val="28"/>
          <w:szCs w:val="28"/>
          <w:highlight w:val="none"/>
        </w:rPr>
      </w:pPr>
      <w:r>
        <w:rPr>
          <w:rFonts w:hint="eastAsia" w:ascii="仿宋" w:hAnsi="仿宋" w:eastAsia="仿宋"/>
          <w:color w:val="auto"/>
          <w:sz w:val="28"/>
          <w:szCs w:val="28"/>
          <w:highlight w:val="none"/>
        </w:rPr>
        <w:t>销售服务机构：</w:t>
      </w:r>
      <w:r>
        <w:rPr>
          <w:rFonts w:hint="default" w:ascii="仿宋" w:hAnsi="仿宋" w:eastAsia="仿宋"/>
          <w:color w:val="auto"/>
          <w:sz w:val="28"/>
          <w:szCs w:val="28"/>
          <w:highlight w:val="none"/>
        </w:rPr>
        <w:t>华夏银行股份有限公司</w:t>
      </w:r>
    </w:p>
    <w:p>
      <w:pPr>
        <w:widowControl/>
        <w:spacing w:line="360" w:lineRule="auto"/>
        <w:ind w:firstLine="600"/>
        <w:rPr>
          <w:rFonts w:ascii="仿宋" w:hAnsi="仿宋" w:eastAsia="仿宋"/>
          <w:color w:val="auto"/>
          <w:sz w:val="28"/>
          <w:szCs w:val="28"/>
          <w:highlight w:val="none"/>
        </w:rPr>
      </w:pPr>
      <w:r>
        <w:rPr>
          <w:rFonts w:hint="eastAsia" w:ascii="仿宋" w:hAnsi="仿宋" w:eastAsia="仿宋"/>
          <w:color w:val="auto"/>
          <w:sz w:val="28"/>
          <w:szCs w:val="28"/>
          <w:highlight w:val="none"/>
        </w:rPr>
        <w:t>产品托管人：</w:t>
      </w:r>
      <w:r>
        <w:rPr>
          <w:rFonts w:ascii="仿宋" w:hAnsi="仿宋" w:eastAsia="仿宋"/>
          <w:color w:val="auto"/>
          <w:sz w:val="28"/>
          <w:szCs w:val="28"/>
          <w:highlight w:val="none"/>
        </w:rPr>
        <w:t xml:space="preserve"> </w:t>
      </w:r>
      <w:r>
        <w:rPr>
          <w:rFonts w:hint="eastAsia" w:ascii="仿宋" w:hAnsi="仿宋" w:eastAsia="仿宋"/>
          <w:color w:val="auto"/>
          <w:sz w:val="28"/>
          <w:szCs w:val="28"/>
          <w:highlight w:val="none"/>
        </w:rPr>
        <w:t>招商银行股份有限公司</w:t>
      </w:r>
    </w:p>
    <w:p>
      <w:pPr>
        <w:pStyle w:val="18"/>
        <w:numPr>
          <w:ilvl w:val="0"/>
          <w:numId w:val="1"/>
        </w:numPr>
        <w:spacing w:before="30" w:line="298" w:lineRule="auto"/>
        <w:ind w:left="567" w:right="1503" w:hanging="567" w:firstLineChars="0"/>
        <w:rPr>
          <w:rFonts w:ascii="仿宋" w:hAnsi="仿宋" w:eastAsia="仿宋"/>
          <w:b/>
          <w:color w:val="auto"/>
          <w:sz w:val="28"/>
          <w:szCs w:val="28"/>
        </w:rPr>
      </w:pPr>
      <w:r>
        <w:rPr>
          <w:rFonts w:hint="eastAsia" w:ascii="仿宋" w:hAnsi="仿宋" w:eastAsia="仿宋"/>
          <w:b/>
          <w:color w:val="auto"/>
          <w:sz w:val="28"/>
          <w:szCs w:val="28"/>
        </w:rPr>
        <w:t>联系方式：</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rPr>
        <w:t>招银理财有限责任公司：</w:t>
      </w:r>
    </w:p>
    <w:p>
      <w:pPr>
        <w:widowControl/>
        <w:spacing w:line="360" w:lineRule="auto"/>
        <w:ind w:firstLine="600"/>
        <w:rPr>
          <w:rFonts w:hint="eastAsia" w:ascii="仿宋" w:hAnsi="仿宋" w:eastAsia="仿宋"/>
          <w:color w:val="auto"/>
          <w:sz w:val="28"/>
          <w:szCs w:val="28"/>
        </w:rPr>
      </w:pPr>
      <w:r>
        <w:rPr>
          <w:rFonts w:hint="eastAsia" w:ascii="仿宋" w:hAnsi="仿宋" w:eastAsia="仿宋"/>
          <w:color w:val="auto"/>
          <w:sz w:val="28"/>
          <w:szCs w:val="28"/>
        </w:rPr>
        <w:t>地址：深圳市科苑南路2700号华润金融大厦17-20层</w:t>
      </w:r>
    </w:p>
    <w:p>
      <w:pPr>
        <w:spacing w:line="300" w:lineRule="auto"/>
        <w:ind w:left="0" w:right="688" w:firstLine="420" w:firstLineChars="0"/>
        <w:rPr>
          <w:rFonts w:ascii="仿宋" w:hAnsi="仿宋" w:eastAsia="仿宋"/>
          <w:color w:val="auto"/>
          <w:sz w:val="28"/>
          <w:szCs w:val="28"/>
        </w:rPr>
      </w:pPr>
      <w:r>
        <w:rPr>
          <w:rFonts w:hint="eastAsia" w:ascii="仿宋" w:hAnsi="仿宋" w:eastAsia="仿宋"/>
          <w:color w:val="auto"/>
          <w:sz w:val="28"/>
          <w:szCs w:val="28"/>
          <w:lang w:eastAsia="zh-CN"/>
        </w:rPr>
        <w:t>网址</w:t>
      </w:r>
      <w:r>
        <w:rPr>
          <w:rFonts w:hint="eastAsia" w:ascii="仿宋" w:hAnsi="仿宋" w:eastAsia="仿宋"/>
          <w:color w:val="auto"/>
          <w:sz w:val="28"/>
          <w:szCs w:val="28"/>
        </w:rPr>
        <w:t>：https://www.cmbchinawm.com/</w:t>
      </w:r>
    </w:p>
    <w:p>
      <w:pPr>
        <w:widowControl/>
        <w:spacing w:line="300" w:lineRule="auto"/>
        <w:ind w:left="0" w:right="688" w:firstLine="420" w:firstLineChars="0"/>
        <w:rPr>
          <w:rFonts w:hint="eastAsia" w:ascii="仿宋" w:hAnsi="仿宋" w:eastAsia="仿宋"/>
          <w:color w:val="auto"/>
          <w:sz w:val="28"/>
          <w:szCs w:val="28"/>
        </w:rPr>
      </w:pPr>
      <w:r>
        <w:rPr>
          <w:rFonts w:hint="eastAsia" w:ascii="仿宋" w:hAnsi="仿宋" w:eastAsia="仿宋"/>
          <w:b w:val="0"/>
          <w:color w:val="auto"/>
          <w:sz w:val="28"/>
          <w:szCs w:val="28"/>
        </w:rPr>
        <w:t>全国统一客户服务热线</w:t>
      </w:r>
      <w:r>
        <w:rPr>
          <w:rFonts w:hint="eastAsia" w:ascii="仿宋" w:hAnsi="仿宋" w:eastAsia="仿宋"/>
          <w:b w:val="0"/>
          <w:color w:val="auto"/>
          <w:sz w:val="28"/>
          <w:szCs w:val="28"/>
          <w:lang w:eastAsia="zh-CN"/>
        </w:rPr>
        <w:t>：</w:t>
      </w:r>
      <w:r>
        <w:rPr>
          <w:rFonts w:hint="eastAsia" w:ascii="仿宋" w:hAnsi="仿宋" w:eastAsia="仿宋"/>
          <w:b w:val="0"/>
          <w:color w:val="auto"/>
          <w:sz w:val="28"/>
          <w:szCs w:val="28"/>
        </w:rPr>
        <w:t>0755-84335100</w:t>
      </w:r>
    </w:p>
    <w:p>
      <w:pPr>
        <w:widowControl/>
        <w:spacing w:line="360" w:lineRule="auto"/>
        <w:ind w:firstLine="600"/>
        <w:rPr>
          <w:rFonts w:ascii="仿宋" w:hAnsi="仿宋" w:eastAsia="仿宋"/>
          <w:color w:val="auto"/>
          <w:sz w:val="28"/>
          <w:szCs w:val="28"/>
          <w:highlight w:val="none"/>
        </w:rPr>
      </w:pPr>
      <w:r>
        <w:rPr>
          <w:rFonts w:hint="default" w:ascii="仿宋" w:hAnsi="仿宋" w:eastAsia="仿宋"/>
          <w:color w:val="auto"/>
          <w:sz w:val="28"/>
          <w:szCs w:val="28"/>
          <w:highlight w:val="none"/>
        </w:rPr>
        <w:t>华夏银行</w:t>
      </w:r>
      <w:r>
        <w:rPr>
          <w:rFonts w:hint="eastAsia" w:ascii="仿宋" w:hAnsi="仿宋" w:eastAsia="仿宋"/>
          <w:color w:val="auto"/>
          <w:sz w:val="28"/>
          <w:szCs w:val="28"/>
          <w:highlight w:val="none"/>
        </w:rPr>
        <w:t>：</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rPr>
        <w:t>网址：</w:t>
      </w:r>
      <w:r>
        <w:rPr>
          <w:rFonts w:ascii="仿宋" w:hAnsi="仿宋" w:eastAsia="仿宋"/>
          <w:color w:val="auto"/>
          <w:sz w:val="28"/>
          <w:szCs w:val="28"/>
        </w:rPr>
        <w:t>www.</w:t>
      </w:r>
      <w:r>
        <w:rPr>
          <w:rFonts w:hint="default" w:ascii="仿宋" w:hAnsi="仿宋" w:eastAsia="仿宋"/>
          <w:color w:val="auto"/>
          <w:sz w:val="28"/>
          <w:szCs w:val="28"/>
        </w:rPr>
        <w:t>hxb</w:t>
      </w:r>
      <w:r>
        <w:rPr>
          <w:rFonts w:ascii="仿宋" w:hAnsi="仿宋" w:eastAsia="仿宋"/>
          <w:color w:val="auto"/>
          <w:sz w:val="28"/>
          <w:szCs w:val="28"/>
        </w:rPr>
        <w:t>.com.cn</w:t>
      </w:r>
      <w:r>
        <w:rPr>
          <w:rFonts w:hint="eastAsia" w:ascii="仿宋" w:hAnsi="仿宋" w:eastAsia="仿宋"/>
          <w:color w:val="auto"/>
          <w:sz w:val="28"/>
          <w:szCs w:val="28"/>
        </w:rPr>
        <w:t xml:space="preserve">  </w:t>
      </w:r>
    </w:p>
    <w:p>
      <w:pPr>
        <w:widowControl/>
        <w:spacing w:line="360" w:lineRule="auto"/>
        <w:ind w:firstLine="600"/>
        <w:rPr>
          <w:rFonts w:ascii="仿宋" w:hAnsi="仿宋" w:eastAsia="仿宋"/>
          <w:color w:val="auto"/>
          <w:sz w:val="28"/>
          <w:szCs w:val="28"/>
        </w:rPr>
      </w:pPr>
      <w:r>
        <w:rPr>
          <w:rFonts w:hint="eastAsia" w:ascii="仿宋" w:hAnsi="仿宋" w:eastAsia="仿宋"/>
          <w:color w:val="auto"/>
          <w:sz w:val="28"/>
          <w:szCs w:val="28"/>
        </w:rPr>
        <w:t>全国统一客户服务热线：</w:t>
      </w:r>
      <w:r>
        <w:rPr>
          <w:rFonts w:ascii="仿宋" w:hAnsi="仿宋" w:eastAsia="仿宋"/>
          <w:color w:val="auto"/>
          <w:sz w:val="28"/>
          <w:szCs w:val="28"/>
        </w:rPr>
        <w:t>955</w:t>
      </w:r>
      <w:r>
        <w:rPr>
          <w:rFonts w:hint="default" w:ascii="仿宋" w:hAnsi="仿宋" w:eastAsia="仿宋"/>
          <w:color w:val="auto"/>
          <w:sz w:val="28"/>
          <w:szCs w:val="28"/>
        </w:rPr>
        <w:t>77</w:t>
      </w:r>
      <w:r>
        <w:rPr>
          <w:rFonts w:hint="eastAsia" w:ascii="仿宋" w:hAnsi="仿宋" w:eastAsia="仿宋"/>
          <w:color w:val="auto"/>
          <w:sz w:val="28"/>
          <w:szCs w:val="28"/>
        </w:rPr>
        <w:t>。</w:t>
      </w:r>
    </w:p>
    <w:p>
      <w:pPr>
        <w:widowControl/>
        <w:spacing w:line="360" w:lineRule="auto"/>
        <w:ind w:firstLine="600"/>
        <w:rPr>
          <w:rFonts w:hint="eastAsia" w:ascii="仿宋" w:hAnsi="仿宋" w:eastAsia="仿宋"/>
          <w:color w:val="auto"/>
          <w:sz w:val="28"/>
          <w:szCs w:val="28"/>
        </w:rPr>
      </w:pPr>
    </w:p>
    <w:p>
      <w:pPr>
        <w:jc w:val="right"/>
        <w:rPr>
          <w:rFonts w:ascii="仿宋" w:hAnsi="仿宋" w:eastAsia="仿宋"/>
          <w:color w:val="auto"/>
          <w:sz w:val="28"/>
          <w:szCs w:val="28"/>
        </w:rPr>
      </w:pPr>
      <w:r>
        <w:rPr>
          <w:rFonts w:hint="eastAsia" w:ascii="仿宋" w:hAnsi="仿宋" w:eastAsia="仿宋" w:cs="FZSSK--GBK1-0"/>
          <w:b/>
          <w:bCs/>
          <w:color w:val="auto"/>
          <w:kern w:val="0"/>
          <w:sz w:val="28"/>
          <w:szCs w:val="28"/>
        </w:rPr>
        <w:t>招银理财有限责任公司</w:t>
      </w:r>
    </w:p>
    <w:p>
      <w:pPr>
        <w:rPr>
          <w:rFonts w:hint="eastAsia"/>
          <w:color w:val="auto"/>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FZSSK--GBK1-0">
    <w:altName w:val="微软雅黑"/>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9889650"/>
      <w:docPartObj>
        <w:docPartGallery w:val="AutoText"/>
      </w:docPartObj>
    </w:sdtPr>
    <w:sdtContent>
      <w:p>
        <w:pPr>
          <w:pStyle w:val="5"/>
          <w:jc w:val="center"/>
        </w:pP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5F4B4B"/>
    <w:multiLevelType w:val="multilevel"/>
    <w:tmpl w:val="7B5F4B4B"/>
    <w:lvl w:ilvl="0" w:tentative="0">
      <w:start w:val="1"/>
      <w:numFmt w:val="japaneseCounting"/>
      <w:lvlText w:val="%1、"/>
      <w:lvlJc w:val="left"/>
      <w:pPr>
        <w:ind w:left="862" w:hanging="720"/>
      </w:pPr>
      <w:rPr>
        <w:rFonts w:hint="default"/>
        <w:b/>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2C1"/>
    <w:rsid w:val="00006208"/>
    <w:rsid w:val="000D3B01"/>
    <w:rsid w:val="000F4798"/>
    <w:rsid w:val="000F500E"/>
    <w:rsid w:val="001033D4"/>
    <w:rsid w:val="0011224F"/>
    <w:rsid w:val="001C12C1"/>
    <w:rsid w:val="0020397B"/>
    <w:rsid w:val="00216AB4"/>
    <w:rsid w:val="002C70C6"/>
    <w:rsid w:val="002D07CF"/>
    <w:rsid w:val="002D1F72"/>
    <w:rsid w:val="003540DD"/>
    <w:rsid w:val="004F788E"/>
    <w:rsid w:val="00535E16"/>
    <w:rsid w:val="00660C20"/>
    <w:rsid w:val="00745E07"/>
    <w:rsid w:val="007923BE"/>
    <w:rsid w:val="007957C7"/>
    <w:rsid w:val="0091751E"/>
    <w:rsid w:val="00A43677"/>
    <w:rsid w:val="00A71111"/>
    <w:rsid w:val="00B85063"/>
    <w:rsid w:val="00CB6323"/>
    <w:rsid w:val="00CE3FAA"/>
    <w:rsid w:val="00DC37FF"/>
    <w:rsid w:val="00E001D0"/>
    <w:rsid w:val="00E70316"/>
    <w:rsid w:val="00EA7D1F"/>
    <w:rsid w:val="00F12294"/>
    <w:rsid w:val="00F9722F"/>
    <w:rsid w:val="08F01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link w:val="14"/>
    <w:unhideWhenUsed/>
    <w:qFormat/>
    <w:uiPriority w:val="1"/>
    <w:pPr>
      <w:spacing w:after="120"/>
    </w:pPr>
  </w:style>
  <w:style w:type="paragraph" w:styleId="4">
    <w:name w:val="Balloon Text"/>
    <w:basedOn w:val="1"/>
    <w:link w:val="17"/>
    <w:semiHidden/>
    <w:unhideWhenUsed/>
    <w:qFormat/>
    <w:uiPriority w:val="99"/>
    <w:rPr>
      <w:sz w:val="18"/>
      <w:szCs w:val="18"/>
    </w:rPr>
  </w:style>
  <w:style w:type="paragraph" w:styleId="5">
    <w:name w:val="footer"/>
    <w:basedOn w:val="1"/>
    <w:link w:val="13"/>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iPriority w:val="0"/>
    <w:rPr>
      <w:color w:val="000000"/>
      <w:u w:val="none"/>
    </w:rPr>
  </w:style>
  <w:style w:type="character" w:styleId="12">
    <w:name w:val="annotation reference"/>
    <w:qFormat/>
    <w:uiPriority w:val="0"/>
    <w:rPr>
      <w:sz w:val="21"/>
      <w:szCs w:val="21"/>
    </w:rPr>
  </w:style>
  <w:style w:type="character" w:customStyle="1" w:styleId="13">
    <w:name w:val="页脚 字符"/>
    <w:basedOn w:val="10"/>
    <w:link w:val="5"/>
    <w:qFormat/>
    <w:uiPriority w:val="99"/>
    <w:rPr>
      <w:rFonts w:ascii="Times New Roman" w:hAnsi="Times New Roman" w:eastAsia="宋体" w:cs="Times New Roman"/>
      <w:sz w:val="18"/>
      <w:szCs w:val="18"/>
    </w:rPr>
  </w:style>
  <w:style w:type="character" w:customStyle="1" w:styleId="14">
    <w:name w:val="正文文本 字符"/>
    <w:basedOn w:val="10"/>
    <w:link w:val="3"/>
    <w:qFormat/>
    <w:uiPriority w:val="1"/>
    <w:rPr>
      <w:rFonts w:ascii="Times New Roman" w:hAnsi="Times New Roman" w:eastAsia="宋体" w:cs="Times New Roman"/>
      <w:szCs w:val="24"/>
    </w:rPr>
  </w:style>
  <w:style w:type="paragraph" w:customStyle="1" w:styleId="15">
    <w:name w:val="Table Paragraph"/>
    <w:basedOn w:val="1"/>
    <w:qFormat/>
    <w:uiPriority w:val="1"/>
    <w:pPr>
      <w:spacing w:line="249" w:lineRule="exact"/>
      <w:ind w:left="100"/>
      <w:jc w:val="left"/>
    </w:pPr>
    <w:rPr>
      <w:rFonts w:ascii="宋体" w:hAnsi="宋体" w:cs="宋体"/>
      <w:kern w:val="0"/>
      <w:sz w:val="22"/>
      <w:szCs w:val="22"/>
      <w:lang w:eastAsia="en-US"/>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semiHidden/>
    <w:uiPriority w:val="99"/>
    <w:rPr>
      <w:rFonts w:ascii="Times New Roman" w:hAnsi="Times New Roman" w:eastAsia="宋体" w:cs="Times New Roman"/>
      <w:sz w:val="18"/>
      <w:szCs w:val="18"/>
    </w:rPr>
  </w:style>
  <w:style w:type="paragraph" w:styleId="18">
    <w:name w:val="List Paragraph"/>
    <w:basedOn w:val="1"/>
    <w:qFormat/>
    <w:uiPriority w:val="34"/>
    <w:pPr>
      <w:ind w:firstLine="420" w:firstLineChars="200"/>
    </w:pPr>
    <w:rPr>
      <w:rFonts w:ascii="Calibri" w:hAnsi="Calibri"/>
      <w:szCs w:val="22"/>
    </w:rPr>
  </w:style>
  <w:style w:type="character" w:customStyle="1" w:styleId="19">
    <w:name w:val="标题 1 字符"/>
    <w:basedOn w:val="10"/>
    <w:link w:val="2"/>
    <w:qFormat/>
    <w:uiPriority w:val="0"/>
    <w:rPr>
      <w:rFonts w:ascii="Times New Roman" w:hAnsi="Times New Roman" w:eastAsia="宋体" w:cs="Times New Roman"/>
      <w:b/>
      <w:bCs/>
      <w:kern w:val="44"/>
      <w:sz w:val="44"/>
      <w:szCs w:val="44"/>
    </w:rPr>
  </w:style>
  <w:style w:type="character" w:customStyle="1" w:styleId="20">
    <w:name w:val="detail1"/>
    <w:qFormat/>
    <w:uiPriority w:val="0"/>
    <w:rPr>
      <w:rFonts w:hint="default" w:ascii="ˎ̥" w:hAnsi="ˎ̥"/>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diagramColors" Target="diagrams/colors1.xml"/><Relationship Id="rId8" Type="http://schemas.openxmlformats.org/officeDocument/2006/relationships/diagramQuickStyle" Target="diagrams/quickStyle1.xml"/><Relationship Id="rId7" Type="http://schemas.openxmlformats.org/officeDocument/2006/relationships/diagramLayout" Target="diagrams/layout1.xml"/><Relationship Id="rId6" Type="http://schemas.openxmlformats.org/officeDocument/2006/relationships/diagramData" Target="diagrams/data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microsoft.com/office/2007/relationships/diagramDrawing" Target="diagrams/drawing1.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B382D922-A4E2-4158-985E-78DEF73A165E}" type="doc">
      <dgm:prSet loTypeId="urn:microsoft.com/office/officeart/2005/8/layout/process1" loCatId="process" qsTypeId="urn:microsoft.com/office/officeart/2005/8/quickstyle/simple1" qsCatId="simple" csTypeId="urn:microsoft.com/office/officeart/2005/8/colors/accent1_2" csCatId="accent1" phldr="1"/>
      <dgm:spPr/>
    </dgm:pt>
    <dgm:pt modelId="{87120CA1-F850-4571-92F3-34BA06BE6325}">
      <dgm:prSet phldrT="[文本]" custT="1"/>
      <dgm:spPr>
        <a:xfrm>
          <a:off x="2528" y="93465"/>
          <a:ext cx="1105392" cy="66323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800">
              <a:solidFill>
                <a:sysClr val="window" lastClr="FFFFFF"/>
              </a:solidFill>
              <a:latin typeface="仿宋" panose="02010609060101010101" pitchFamily="3" charset="-122"/>
              <a:ea typeface="仿宋" panose="02010609060101010101" pitchFamily="3" charset="-122"/>
              <a:cs typeface="+mn-cs"/>
            </a:rPr>
            <a:t>个人风险承受能力评估</a:t>
          </a:r>
        </a:p>
      </dgm:t>
    </dgm:pt>
    <dgm:pt modelId="{13850AEA-A726-472F-825B-4BA858810604}" cxnId="{09DE87F0-EDCF-419A-8BF2-27F67258053F}" type="parTrans">
      <dgm:prSet/>
      <dgm:spPr/>
      <dgm:t>
        <a:bodyPr/>
        <a:p>
          <a:endParaRPr lang="zh-CN" altLang="en-US" sz="800">
            <a:latin typeface="仿宋" panose="02010609060101010101" pitchFamily="3" charset="-122"/>
            <a:ea typeface="仿宋" panose="02010609060101010101" pitchFamily="3" charset="-122"/>
          </a:endParaRPr>
        </a:p>
      </dgm:t>
    </dgm:pt>
    <dgm:pt modelId="{B90F44D9-06DE-4055-AD88-DC5BD1870984}" cxnId="{09DE87F0-EDCF-419A-8BF2-27F67258053F}" type="sibTrans">
      <dgm:prSet custT="1"/>
      <dgm:spPr>
        <a:xfrm>
          <a:off x="1218460" y="288014"/>
          <a:ext cx="234343" cy="274137"/>
        </a:xfrm>
        <a:solidFill>
          <a:srgbClr val="5B9BD5">
            <a:tint val="60000"/>
            <a:hueOff val="0"/>
            <a:satOff val="0"/>
            <a:lumOff val="0"/>
            <a:alphaOff val="0"/>
          </a:srgbClr>
        </a:solidFill>
        <a:ln>
          <a:noFill/>
        </a:ln>
        <a:effectLst/>
      </dgm:spPr>
      <dgm:t>
        <a:bodyPr/>
        <a:p>
          <a:endParaRPr lang="zh-CN" altLang="en-US" sz="800">
            <a:solidFill>
              <a:sysClr val="window" lastClr="FFFFFF"/>
            </a:solidFill>
            <a:latin typeface="仿宋" panose="02010609060101010101" pitchFamily="3" charset="-122"/>
            <a:ea typeface="仿宋" panose="02010609060101010101" pitchFamily="3" charset="-122"/>
            <a:cs typeface="+mn-cs"/>
          </a:endParaRPr>
        </a:p>
      </dgm:t>
    </dgm:pt>
    <dgm:pt modelId="{D15AB90C-04D6-40AF-8F6D-EAE5B19CD7FF}">
      <dgm:prSet phldrT="[文本]" phldr="0" custT="1"/>
      <dgm:spPr>
        <a:xfrm>
          <a:off x="1550078" y="93465"/>
          <a:ext cx="1105392" cy="66323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vert="horz" wrap="square"/>
        <a:p>
          <a:pPr>
            <a:lnSpc>
              <a:spcPct val="100000"/>
            </a:lnSpc>
            <a:spcBef>
              <a:spcPct val="0"/>
            </a:spcBef>
            <a:spcAft>
              <a:spcPct val="35000"/>
            </a:spcAft>
          </a:pPr>
          <a:r>
            <a:rPr lang="zh-CN" altLang="en-US" sz="800">
              <a:solidFill>
                <a:sysClr val="window" lastClr="FFFFFF"/>
              </a:solidFill>
              <a:latin typeface="仿宋" panose="02010609060101010101" pitchFamily="3" charset="-122"/>
              <a:ea typeface="仿宋" panose="02010609060101010101" pitchFamily="3" charset="-122"/>
              <a:cs typeface="+mn-cs"/>
            </a:rPr>
            <a:t>填写</a:t>
          </a:r>
          <a:r>
            <a:rPr lang="zh-CN" altLang="en-US" sz="800">
              <a:solidFill>
                <a:sysClr val="window" lastClr="FFFFFF"/>
              </a:solidFill>
              <a:latin typeface="仿宋" panose="02010609060101010101" pitchFamily="3" charset="-122"/>
              <a:ea typeface="仿宋" panose="02010609060101010101" pitchFamily="3" charset="-122"/>
              <a:cs typeface="+mn-cs"/>
            </a:rPr>
            <a:t>华夏</a:t>
          </a:r>
          <a:r>
            <a:rPr lang="zh-CN" altLang="en-US" sz="800">
              <a:solidFill>
                <a:sysClr val="window" lastClr="FFFFFF"/>
              </a:solidFill>
              <a:latin typeface="仿宋" panose="02010609060101010101" pitchFamily="3" charset="-122"/>
              <a:ea typeface="仿宋" panose="02010609060101010101" pitchFamily="3" charset="-122"/>
              <a:cs typeface="+mn-cs"/>
            </a:rPr>
            <a:t>银行个人客户投资风险评估问卷</a:t>
          </a:r>
          <a:r>
            <a:rPr sz="6500"/>
            <a:t/>
          </a:r>
          <a:endParaRPr sz="6500"/>
        </a:p>
      </dgm:t>
    </dgm:pt>
    <dgm:pt modelId="{2FD406EE-851E-426C-A3A5-6FDD3D19F8FC}" cxnId="{69AD2718-3445-4957-A404-8AEB98C6D4F2}" type="parTrans">
      <dgm:prSet/>
      <dgm:spPr/>
      <dgm:t>
        <a:bodyPr/>
        <a:p>
          <a:endParaRPr lang="zh-CN" altLang="en-US" sz="800">
            <a:latin typeface="仿宋" panose="02010609060101010101" pitchFamily="3" charset="-122"/>
            <a:ea typeface="仿宋" panose="02010609060101010101" pitchFamily="3" charset="-122"/>
          </a:endParaRPr>
        </a:p>
      </dgm:t>
    </dgm:pt>
    <dgm:pt modelId="{377AB417-D0FF-4EFC-B1A1-3E3D63135A20}" cxnId="{69AD2718-3445-4957-A404-8AEB98C6D4F2}" type="sibTrans">
      <dgm:prSet custT="1"/>
      <dgm:spPr>
        <a:xfrm>
          <a:off x="2766010" y="288014"/>
          <a:ext cx="234343" cy="274137"/>
        </a:xfrm>
        <a:solidFill>
          <a:srgbClr val="5B9BD5">
            <a:tint val="60000"/>
            <a:hueOff val="0"/>
            <a:satOff val="0"/>
            <a:lumOff val="0"/>
            <a:alphaOff val="0"/>
          </a:srgbClr>
        </a:solidFill>
        <a:ln>
          <a:noFill/>
        </a:ln>
        <a:effectLst/>
      </dgm:spPr>
      <dgm:t>
        <a:bodyPr/>
        <a:p>
          <a:endParaRPr lang="zh-CN" altLang="en-US" sz="800">
            <a:solidFill>
              <a:sysClr val="window" lastClr="FFFFFF"/>
            </a:solidFill>
            <a:latin typeface="仿宋" panose="02010609060101010101" pitchFamily="3" charset="-122"/>
            <a:ea typeface="仿宋" panose="02010609060101010101" pitchFamily="3" charset="-122"/>
            <a:cs typeface="+mn-cs"/>
          </a:endParaRPr>
        </a:p>
      </dgm:t>
    </dgm:pt>
    <dgm:pt modelId="{0348E969-D774-4246-884A-2FE678EC2477}">
      <dgm:prSet phldrT="[文本]" custT="1"/>
      <dgm:spPr>
        <a:xfrm>
          <a:off x="3097628" y="93465"/>
          <a:ext cx="1105392" cy="66323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800">
              <a:solidFill>
                <a:sysClr val="window" lastClr="FFFFFF"/>
              </a:solidFill>
              <a:latin typeface="仿宋" panose="02010609060101010101" pitchFamily="3" charset="-122"/>
              <a:ea typeface="仿宋" panose="02010609060101010101" pitchFamily="3" charset="-122"/>
              <a:cs typeface="+mn-cs"/>
            </a:rPr>
            <a:t>系统生成相应的客户风险承受能力评估结果</a:t>
          </a:r>
        </a:p>
      </dgm:t>
    </dgm:pt>
    <dgm:pt modelId="{56323E39-1C9B-4EE2-895A-969A2934D8C5}" cxnId="{494B2178-A423-4368-83E4-78611466D414}" type="parTrans">
      <dgm:prSet/>
      <dgm:spPr/>
      <dgm:t>
        <a:bodyPr/>
        <a:p>
          <a:endParaRPr lang="zh-CN" altLang="en-US" sz="800">
            <a:latin typeface="仿宋" panose="02010609060101010101" pitchFamily="3" charset="-122"/>
            <a:ea typeface="仿宋" panose="02010609060101010101" pitchFamily="3" charset="-122"/>
          </a:endParaRPr>
        </a:p>
      </dgm:t>
    </dgm:pt>
    <dgm:pt modelId="{5BD16C92-7AA3-448F-B4B6-3A6FC5E857B4}" cxnId="{494B2178-A423-4368-83E4-78611466D414}" type="sibTrans">
      <dgm:prSet custT="1"/>
      <dgm:spPr>
        <a:xfrm>
          <a:off x="4313560" y="288014"/>
          <a:ext cx="234343" cy="274137"/>
        </a:xfrm>
        <a:solidFill>
          <a:srgbClr val="5B9BD5">
            <a:tint val="60000"/>
            <a:hueOff val="0"/>
            <a:satOff val="0"/>
            <a:lumOff val="0"/>
            <a:alphaOff val="0"/>
          </a:srgbClr>
        </a:solidFill>
        <a:ln>
          <a:noFill/>
        </a:ln>
        <a:effectLst/>
      </dgm:spPr>
      <dgm:t>
        <a:bodyPr/>
        <a:p>
          <a:endParaRPr lang="zh-CN" altLang="en-US" sz="800">
            <a:solidFill>
              <a:sysClr val="window" lastClr="FFFFFF"/>
            </a:solidFill>
            <a:latin typeface="仿宋" panose="02010609060101010101" pitchFamily="3" charset="-122"/>
            <a:ea typeface="仿宋" panose="02010609060101010101" pitchFamily="3" charset="-122"/>
            <a:cs typeface="+mn-cs"/>
          </a:endParaRPr>
        </a:p>
      </dgm:t>
    </dgm:pt>
    <dgm:pt modelId="{A828692F-BAC6-4E32-9DE3-D2F792D789DA}">
      <dgm:prSet phldrT="[文本]" custT="1"/>
      <dgm:spPr>
        <a:xfrm>
          <a:off x="4645178" y="93465"/>
          <a:ext cx="1105392" cy="66323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800">
              <a:solidFill>
                <a:sysClr val="window" lastClr="FFFFFF"/>
              </a:solidFill>
              <a:latin typeface="仿宋" panose="02010609060101010101" pitchFamily="3" charset="-122"/>
              <a:ea typeface="仿宋" panose="02010609060101010101" pitchFamily="3" charset="-122"/>
              <a:cs typeface="+mn-cs"/>
            </a:rPr>
            <a:t>客户确认评估结果</a:t>
          </a:r>
        </a:p>
      </dgm:t>
    </dgm:pt>
    <dgm:pt modelId="{A731DBD3-3C0E-4BD6-9FF4-2A9BCD4FEDAA}" cxnId="{EDC122D5-4043-4723-A3E9-E8F637AAEC57}" type="parTrans">
      <dgm:prSet/>
      <dgm:spPr/>
      <dgm:t>
        <a:bodyPr/>
        <a:p>
          <a:endParaRPr lang="zh-CN" altLang="en-US" sz="800">
            <a:latin typeface="仿宋" panose="02010609060101010101" pitchFamily="3" charset="-122"/>
            <a:ea typeface="仿宋" panose="02010609060101010101" pitchFamily="3" charset="-122"/>
          </a:endParaRPr>
        </a:p>
      </dgm:t>
    </dgm:pt>
    <dgm:pt modelId="{94E80138-712D-42BE-8836-6F094572EF9D}" cxnId="{EDC122D5-4043-4723-A3E9-E8F637AAEC57}" type="sibTrans">
      <dgm:prSet/>
      <dgm:spPr/>
      <dgm:t>
        <a:bodyPr/>
        <a:p>
          <a:endParaRPr lang="zh-CN" altLang="en-US" sz="800">
            <a:latin typeface="仿宋" panose="02010609060101010101" pitchFamily="3" charset="-122"/>
            <a:ea typeface="仿宋" panose="02010609060101010101" pitchFamily="3" charset="-122"/>
          </a:endParaRPr>
        </a:p>
      </dgm:t>
    </dgm:pt>
    <dgm:pt modelId="{5553AB41-8709-4157-9056-50532DB9181D}" type="pres">
      <dgm:prSet presAssocID="{B382D922-A4E2-4158-985E-78DEF73A165E}" presName="Name0" presStyleCnt="0">
        <dgm:presLayoutVars>
          <dgm:dir/>
          <dgm:resizeHandles val="exact"/>
        </dgm:presLayoutVars>
      </dgm:prSet>
      <dgm:spPr/>
    </dgm:pt>
    <dgm:pt modelId="{A160FCA2-1C70-4B74-864E-45B234DFFDF9}" type="pres">
      <dgm:prSet presAssocID="{87120CA1-F850-4571-92F3-34BA06BE6325}" presName="node" presStyleLbl="node1" presStyleIdx="0" presStyleCnt="4">
        <dgm:presLayoutVars>
          <dgm:bulletEnabled val="1"/>
        </dgm:presLayoutVars>
      </dgm:prSet>
      <dgm:spPr>
        <a:prstGeom prst="roundRect">
          <a:avLst>
            <a:gd name="adj" fmla="val 10000"/>
          </a:avLst>
        </a:prstGeom>
      </dgm:spPr>
      <dgm:t>
        <a:bodyPr/>
        <a:p>
          <a:endParaRPr lang="zh-CN" altLang="en-US"/>
        </a:p>
      </dgm:t>
    </dgm:pt>
    <dgm:pt modelId="{85DD6C36-1516-47D5-9C9D-58619A6148DA}" type="pres">
      <dgm:prSet presAssocID="{B90F44D9-06DE-4055-AD88-DC5BD1870984}" presName="sibTrans" presStyleLbl="sibTrans2D1" presStyleIdx="0" presStyleCnt="3"/>
      <dgm:spPr>
        <a:prstGeom prst="rightArrow">
          <a:avLst>
            <a:gd name="adj1" fmla="val 60000"/>
            <a:gd name="adj2" fmla="val 50000"/>
          </a:avLst>
        </a:prstGeom>
      </dgm:spPr>
      <dgm:t>
        <a:bodyPr/>
        <a:p>
          <a:endParaRPr lang="zh-CN" altLang="en-US"/>
        </a:p>
      </dgm:t>
    </dgm:pt>
    <dgm:pt modelId="{8DA911C5-F4FB-4B5B-A7CF-78B40076D487}" type="pres">
      <dgm:prSet presAssocID="{B90F44D9-06DE-4055-AD88-DC5BD1870984}" presName="connectorText" presStyleCnt="0"/>
      <dgm:spPr/>
      <dgm:t>
        <a:bodyPr/>
        <a:p>
          <a:endParaRPr lang="zh-CN" altLang="en-US"/>
        </a:p>
      </dgm:t>
    </dgm:pt>
    <dgm:pt modelId="{EBFBB216-1D0C-46AE-AFFA-14643845FF2E}" type="pres">
      <dgm:prSet presAssocID="{D15AB90C-04D6-40AF-8F6D-EAE5B19CD7FF}" presName="node" presStyleLbl="node1" presStyleIdx="1" presStyleCnt="4">
        <dgm:presLayoutVars>
          <dgm:bulletEnabled val="1"/>
        </dgm:presLayoutVars>
      </dgm:prSet>
      <dgm:spPr>
        <a:prstGeom prst="roundRect">
          <a:avLst>
            <a:gd name="adj" fmla="val 10000"/>
          </a:avLst>
        </a:prstGeom>
      </dgm:spPr>
      <dgm:t>
        <a:bodyPr/>
        <a:p>
          <a:endParaRPr lang="zh-CN" altLang="en-US"/>
        </a:p>
      </dgm:t>
    </dgm:pt>
    <dgm:pt modelId="{08105583-511A-4652-8B47-22F6C32F5024}" type="pres">
      <dgm:prSet presAssocID="{377AB417-D0FF-4EFC-B1A1-3E3D63135A20}" presName="sibTrans" presStyleLbl="sibTrans2D1" presStyleIdx="1" presStyleCnt="3"/>
      <dgm:spPr>
        <a:prstGeom prst="rightArrow">
          <a:avLst>
            <a:gd name="adj1" fmla="val 60000"/>
            <a:gd name="adj2" fmla="val 50000"/>
          </a:avLst>
        </a:prstGeom>
      </dgm:spPr>
      <dgm:t>
        <a:bodyPr/>
        <a:p>
          <a:endParaRPr lang="zh-CN" altLang="en-US"/>
        </a:p>
      </dgm:t>
    </dgm:pt>
    <dgm:pt modelId="{3F718B77-0989-448C-92B5-73738F785F51}" type="pres">
      <dgm:prSet presAssocID="{377AB417-D0FF-4EFC-B1A1-3E3D63135A20}" presName="connectorText" presStyleCnt="0"/>
      <dgm:spPr/>
      <dgm:t>
        <a:bodyPr/>
        <a:p>
          <a:endParaRPr lang="zh-CN" altLang="en-US"/>
        </a:p>
      </dgm:t>
    </dgm:pt>
    <dgm:pt modelId="{539D016E-4044-4299-87E7-242D4E1728DD}" type="pres">
      <dgm:prSet presAssocID="{0348E969-D774-4246-884A-2FE678EC2477}" presName="node" presStyleLbl="node1" presStyleIdx="2" presStyleCnt="4">
        <dgm:presLayoutVars>
          <dgm:bulletEnabled val="1"/>
        </dgm:presLayoutVars>
      </dgm:prSet>
      <dgm:spPr>
        <a:prstGeom prst="roundRect">
          <a:avLst>
            <a:gd name="adj" fmla="val 10000"/>
          </a:avLst>
        </a:prstGeom>
      </dgm:spPr>
      <dgm:t>
        <a:bodyPr/>
        <a:p>
          <a:endParaRPr lang="zh-CN" altLang="en-US"/>
        </a:p>
      </dgm:t>
    </dgm:pt>
    <dgm:pt modelId="{E1F947AF-62DB-4160-B069-2F5BA19A9DA6}" type="pres">
      <dgm:prSet presAssocID="{5BD16C92-7AA3-448F-B4B6-3A6FC5E857B4}" presName="sibTrans" presStyleLbl="sibTrans2D1" presStyleIdx="2" presStyleCnt="3"/>
      <dgm:spPr>
        <a:prstGeom prst="rightArrow">
          <a:avLst>
            <a:gd name="adj1" fmla="val 60000"/>
            <a:gd name="adj2" fmla="val 50000"/>
          </a:avLst>
        </a:prstGeom>
      </dgm:spPr>
      <dgm:t>
        <a:bodyPr/>
        <a:p>
          <a:endParaRPr lang="zh-CN" altLang="en-US"/>
        </a:p>
      </dgm:t>
    </dgm:pt>
    <dgm:pt modelId="{89643A38-EB17-4ECF-BF12-41C24346C375}" type="pres">
      <dgm:prSet presAssocID="{5BD16C92-7AA3-448F-B4B6-3A6FC5E857B4}" presName="connectorText" presStyleCnt="0"/>
      <dgm:spPr/>
      <dgm:t>
        <a:bodyPr/>
        <a:p>
          <a:endParaRPr lang="zh-CN" altLang="en-US"/>
        </a:p>
      </dgm:t>
    </dgm:pt>
    <dgm:pt modelId="{60F9A542-D2E4-4A00-A6CB-527749BE0BC9}" type="pres">
      <dgm:prSet presAssocID="{A828692F-BAC6-4E32-9DE3-D2F792D789DA}" presName="node" presStyleLbl="node1" presStyleIdx="3" presStyleCnt="4">
        <dgm:presLayoutVars>
          <dgm:bulletEnabled val="1"/>
        </dgm:presLayoutVars>
      </dgm:prSet>
      <dgm:spPr>
        <a:prstGeom prst="roundRect">
          <a:avLst>
            <a:gd name="adj" fmla="val 10000"/>
          </a:avLst>
        </a:prstGeom>
      </dgm:spPr>
      <dgm:t>
        <a:bodyPr/>
        <a:p>
          <a:endParaRPr lang="zh-CN" altLang="en-US"/>
        </a:p>
      </dgm:t>
    </dgm:pt>
  </dgm:ptLst>
  <dgm:cxnLst>
    <dgm:cxn modelId="{09DE87F0-EDCF-419A-8BF2-27F67258053F}" srcId="{B382D922-A4E2-4158-985E-78DEF73A165E}" destId="{87120CA1-F850-4571-92F3-34BA06BE6325}" srcOrd="0" destOrd="0" parTransId="{13850AEA-A726-472F-825B-4BA858810604}" sibTransId="{B90F44D9-06DE-4055-AD88-DC5BD1870984}"/>
    <dgm:cxn modelId="{69AD2718-3445-4957-A404-8AEB98C6D4F2}" srcId="{B382D922-A4E2-4158-985E-78DEF73A165E}" destId="{D15AB90C-04D6-40AF-8F6D-EAE5B19CD7FF}" srcOrd="1" destOrd="0" parTransId="{2FD406EE-851E-426C-A3A5-6FDD3D19F8FC}" sibTransId="{377AB417-D0FF-4EFC-B1A1-3E3D63135A20}"/>
    <dgm:cxn modelId="{494B2178-A423-4368-83E4-78611466D414}" srcId="{B382D922-A4E2-4158-985E-78DEF73A165E}" destId="{0348E969-D774-4246-884A-2FE678EC2477}" srcOrd="2" destOrd="0" parTransId="{56323E39-1C9B-4EE2-895A-969A2934D8C5}" sibTransId="{5BD16C92-7AA3-448F-B4B6-3A6FC5E857B4}"/>
    <dgm:cxn modelId="{EDC122D5-4043-4723-A3E9-E8F637AAEC57}" srcId="{B382D922-A4E2-4158-985E-78DEF73A165E}" destId="{A828692F-BAC6-4E32-9DE3-D2F792D789DA}" srcOrd="3" destOrd="0" parTransId="{A731DBD3-3C0E-4BD6-9FF4-2A9BCD4FEDAA}" sibTransId="{94E80138-712D-42BE-8836-6F094572EF9D}"/>
    <dgm:cxn modelId="{74F59762-AA91-4BAE-BD78-273CDE977F08}" type="presOf" srcId="{B382D922-A4E2-4158-985E-78DEF73A165E}" destId="{5553AB41-8709-4157-9056-50532DB9181D}" srcOrd="0" destOrd="0" presId="urn:microsoft.com/office/officeart/2005/8/layout/process1"/>
    <dgm:cxn modelId="{DACE5879-6521-40DA-A2C8-C6CF9FFAF467}" type="presParOf" srcId="{5553AB41-8709-4157-9056-50532DB9181D}" destId="{A160FCA2-1C70-4B74-864E-45B234DFFDF9}" srcOrd="0" destOrd="0" presId="urn:microsoft.com/office/officeart/2005/8/layout/process1"/>
    <dgm:cxn modelId="{039A12A3-2947-403A-BB67-DC321D470468}" type="presOf" srcId="{87120CA1-F850-4571-92F3-34BA06BE6325}" destId="{A160FCA2-1C70-4B74-864E-45B234DFFDF9}" srcOrd="0" destOrd="0" presId="urn:microsoft.com/office/officeart/2005/8/layout/process1"/>
    <dgm:cxn modelId="{95A3AECB-DFAD-48D6-97E4-D2ECEA78E35E}" type="presParOf" srcId="{5553AB41-8709-4157-9056-50532DB9181D}" destId="{85DD6C36-1516-47D5-9C9D-58619A6148DA}" srcOrd="1" destOrd="0" presId="urn:microsoft.com/office/officeart/2005/8/layout/process1"/>
    <dgm:cxn modelId="{E1E32069-6946-4D6D-9B36-249A1AB2FB40}" type="presOf" srcId="{B90F44D9-06DE-4055-AD88-DC5BD1870984}" destId="{85DD6C36-1516-47D5-9C9D-58619A6148DA}" srcOrd="0" destOrd="0" presId="urn:microsoft.com/office/officeart/2005/8/layout/process1"/>
    <dgm:cxn modelId="{277C4149-DCEF-4916-8974-8641609D4EA6}" type="presParOf" srcId="{85DD6C36-1516-47D5-9C9D-58619A6148DA}" destId="{8DA911C5-F4FB-4B5B-A7CF-78B40076D487}" srcOrd="0" destOrd="1" presId="urn:microsoft.com/office/officeart/2005/8/layout/process1"/>
    <dgm:cxn modelId="{D94EAEB0-0AA5-4B51-AA6C-C021072E6206}" type="presOf" srcId="{B90F44D9-06DE-4055-AD88-DC5BD1870984}" destId="{8DA911C5-F4FB-4B5B-A7CF-78B40076D487}" srcOrd="1" destOrd="0" presId="urn:microsoft.com/office/officeart/2005/8/layout/process1"/>
    <dgm:cxn modelId="{4949052C-90BB-4603-AFF1-4455BEC588C1}" type="presParOf" srcId="{5553AB41-8709-4157-9056-50532DB9181D}" destId="{EBFBB216-1D0C-46AE-AFFA-14643845FF2E}" srcOrd="2" destOrd="0" presId="urn:microsoft.com/office/officeart/2005/8/layout/process1"/>
    <dgm:cxn modelId="{A243D10D-BD2B-46F4-B2B1-B9A54AD2FC09}" type="presOf" srcId="{D15AB90C-04D6-40AF-8F6D-EAE5B19CD7FF}" destId="{EBFBB216-1D0C-46AE-AFFA-14643845FF2E}" srcOrd="0" destOrd="0" presId="urn:microsoft.com/office/officeart/2005/8/layout/process1"/>
    <dgm:cxn modelId="{D867F4B7-CBA8-4C0D-911E-F158EAA2E304}" type="presParOf" srcId="{5553AB41-8709-4157-9056-50532DB9181D}" destId="{08105583-511A-4652-8B47-22F6C32F5024}" srcOrd="3" destOrd="0" presId="urn:microsoft.com/office/officeart/2005/8/layout/process1"/>
    <dgm:cxn modelId="{C4E14752-EEB8-4DDD-B447-F9599278AD6A}" type="presOf" srcId="{377AB417-D0FF-4EFC-B1A1-3E3D63135A20}" destId="{08105583-511A-4652-8B47-22F6C32F5024}" srcOrd="0" destOrd="0" presId="urn:microsoft.com/office/officeart/2005/8/layout/process1"/>
    <dgm:cxn modelId="{002A09A1-CF4F-4C20-8430-9393B11F309A}" type="presParOf" srcId="{08105583-511A-4652-8B47-22F6C32F5024}" destId="{3F718B77-0989-448C-92B5-73738F785F51}" srcOrd="0" destOrd="3" presId="urn:microsoft.com/office/officeart/2005/8/layout/process1"/>
    <dgm:cxn modelId="{9D0316FC-99D8-46BF-934A-FB3CBEFEF881}" type="presOf" srcId="{377AB417-D0FF-4EFC-B1A1-3E3D63135A20}" destId="{3F718B77-0989-448C-92B5-73738F785F51}" srcOrd="1" destOrd="0" presId="urn:microsoft.com/office/officeart/2005/8/layout/process1"/>
    <dgm:cxn modelId="{7E60624A-3E56-4158-8A72-D0C685E64B1C}" type="presParOf" srcId="{5553AB41-8709-4157-9056-50532DB9181D}" destId="{539D016E-4044-4299-87E7-242D4E1728DD}" srcOrd="4" destOrd="0" presId="urn:microsoft.com/office/officeart/2005/8/layout/process1"/>
    <dgm:cxn modelId="{3B120E68-1E43-4385-8954-B138575BEE5B}" type="presOf" srcId="{0348E969-D774-4246-884A-2FE678EC2477}" destId="{539D016E-4044-4299-87E7-242D4E1728DD}" srcOrd="0" destOrd="0" presId="urn:microsoft.com/office/officeart/2005/8/layout/process1"/>
    <dgm:cxn modelId="{AE42DA65-4418-4221-A989-8D5BB5E0BA3C}" type="presParOf" srcId="{5553AB41-8709-4157-9056-50532DB9181D}" destId="{E1F947AF-62DB-4160-B069-2F5BA19A9DA6}" srcOrd="5" destOrd="0" presId="urn:microsoft.com/office/officeart/2005/8/layout/process1"/>
    <dgm:cxn modelId="{824E88CB-1298-4710-A978-D93D18CE5BC5}" type="presOf" srcId="{5BD16C92-7AA3-448F-B4B6-3A6FC5E857B4}" destId="{E1F947AF-62DB-4160-B069-2F5BA19A9DA6}" srcOrd="0" destOrd="0" presId="urn:microsoft.com/office/officeart/2005/8/layout/process1"/>
    <dgm:cxn modelId="{8B28A10A-CEDD-4025-AB99-F64D803A0B00}" type="presParOf" srcId="{E1F947AF-62DB-4160-B069-2F5BA19A9DA6}" destId="{89643A38-EB17-4ECF-BF12-41C24346C375}" srcOrd="0" destOrd="5" presId="urn:microsoft.com/office/officeart/2005/8/layout/process1"/>
    <dgm:cxn modelId="{20EBD6F0-1DD5-4258-9287-7484508C9B11}" type="presOf" srcId="{5BD16C92-7AA3-448F-B4B6-3A6FC5E857B4}" destId="{89643A38-EB17-4ECF-BF12-41C24346C375}" srcOrd="1" destOrd="0" presId="urn:microsoft.com/office/officeart/2005/8/layout/process1"/>
    <dgm:cxn modelId="{F9E1C998-87D8-419C-B945-8247BD64BB26}" type="presParOf" srcId="{5553AB41-8709-4157-9056-50532DB9181D}" destId="{60F9A542-D2E4-4A00-A6CB-527749BE0BC9}" srcOrd="6" destOrd="0" presId="urn:microsoft.com/office/officeart/2005/8/layout/process1"/>
    <dgm:cxn modelId="{7C758809-8984-4853-BE85-6A4CBBF32209}" type="presOf" srcId="{A828692F-BAC6-4E32-9DE3-D2F792D789DA}" destId="{60F9A542-D2E4-4A00-A6CB-527749BE0BC9}" srcOrd="0" destOrd="0" presId="urn:microsoft.com/office/officeart/2005/8/layout/process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xmlns:r="http://schemas.openxmlformats.org/officeDocument/2006/relationships">
  <dsp:spTree>
    <dsp:nvGrpSpPr>
      <dsp:cNvPr id="2" name="组合 1"/>
      <dsp:cNvGrpSpPr/>
    </dsp:nvGrpSpPr>
    <dsp:grpSpPr>
      <a:xfrm>
        <a:off x="0" y="0"/>
        <a:ext cx="5274310" cy="779145"/>
        <a:chOff x="0" y="0"/>
        <a:chExt cx="5274310" cy="779145"/>
      </a:xfrm>
    </dsp:grpSpPr>
    <dsp:sp modelId="{A160FCA2-1C70-4B74-864E-45B234DFFDF9}">
      <dsp:nvSpPr>
        <dsp:cNvPr id="3" name="圆角矩形 2"/>
        <dsp:cNvSpPr/>
      </dsp:nvSpPr>
      <dsp:spPr bwMode="white">
        <a:xfrm>
          <a:off x="0" y="85285"/>
          <a:ext cx="1014290" cy="60857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30480" tIns="30480" rIns="30480" bIns="3048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zh-CN" altLang="en-US" sz="800">
              <a:solidFill>
                <a:sysClr val="window" lastClr="FFFFFF"/>
              </a:solidFill>
              <a:latin typeface="仿宋" panose="02010609060101010101" pitchFamily="3" charset="-122"/>
              <a:ea typeface="仿宋" panose="02010609060101010101" pitchFamily="3" charset="-122"/>
              <a:cs typeface="+mn-cs"/>
            </a:rPr>
            <a:t>个人风险承受能力评估</a:t>
          </a:r>
        </a:p>
      </dsp:txBody>
      <dsp:txXfrm>
        <a:off x="0" y="85285"/>
        <a:ext cx="1014290" cy="608574"/>
      </dsp:txXfrm>
    </dsp:sp>
    <dsp:sp modelId="{85DD6C36-1516-47D5-9C9D-58619A6148DA}">
      <dsp:nvSpPr>
        <dsp:cNvPr id="4" name="右箭头 3"/>
        <dsp:cNvSpPr/>
      </dsp:nvSpPr>
      <dsp:spPr bwMode="white">
        <a:xfrm>
          <a:off x="1109634" y="263800"/>
          <a:ext cx="215030" cy="251544"/>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hemeClr val="accent1">
            <a:tint val="60000"/>
          </a:schemeClr>
        </a:lnRef>
        <a:fillRef idx="1">
          <a:schemeClr val="accent1">
            <a:tint val="60000"/>
          </a:schemeClr>
        </a:fillRef>
        <a:effectRef idx="0">
          <a:scrgbClr r="0" g="0" b="0"/>
        </a:effectRef>
        <a:fontRef idx="minor">
          <a:schemeClr val="lt1"/>
        </a:fontRef>
      </dsp:style>
      <dsp:txBody>
        <a:bodyPr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zh-CN" altLang="en-US" sz="800">
            <a:solidFill>
              <a:sysClr val="window" lastClr="FFFFFF"/>
            </a:solidFill>
            <a:latin typeface="仿宋" panose="02010609060101010101" pitchFamily="3" charset="-122"/>
            <a:ea typeface="仿宋" panose="02010609060101010101" pitchFamily="3" charset="-122"/>
            <a:cs typeface="+mn-cs"/>
          </a:endParaRPr>
        </a:p>
      </dsp:txBody>
      <dsp:txXfrm>
        <a:off x="1109634" y="263800"/>
        <a:ext cx="215030" cy="251544"/>
      </dsp:txXfrm>
    </dsp:sp>
    <dsp:sp modelId="{EBFBB216-1D0C-46AE-AFFA-14643845FF2E}">
      <dsp:nvSpPr>
        <dsp:cNvPr id="5" name="圆角矩形 4"/>
        <dsp:cNvSpPr/>
      </dsp:nvSpPr>
      <dsp:spPr bwMode="white">
        <a:xfrm>
          <a:off x="1420007" y="85285"/>
          <a:ext cx="1014290" cy="60857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vert="horz" wrap="square" lIns="30480" tIns="30480" rIns="30480" bIns="3048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zh-CN" altLang="en-US" sz="800">
              <a:solidFill>
                <a:sysClr val="window" lastClr="FFFFFF"/>
              </a:solidFill>
              <a:latin typeface="仿宋" panose="02010609060101010101" pitchFamily="3" charset="-122"/>
              <a:ea typeface="仿宋" panose="02010609060101010101" pitchFamily="3" charset="-122"/>
              <a:cs typeface="+mn-cs"/>
            </a:rPr>
            <a:t>填写</a:t>
          </a:r>
          <a:r>
            <a:rPr lang="zh-CN" altLang="en-US" sz="800">
              <a:solidFill>
                <a:sysClr val="window" lastClr="FFFFFF"/>
              </a:solidFill>
              <a:latin typeface="仿宋" panose="02010609060101010101" pitchFamily="3" charset="-122"/>
              <a:ea typeface="仿宋" panose="02010609060101010101" pitchFamily="3" charset="-122"/>
              <a:cs typeface="+mn-cs"/>
            </a:rPr>
            <a:t>华夏</a:t>
          </a:r>
          <a:r>
            <a:rPr lang="zh-CN" altLang="en-US" sz="800">
              <a:solidFill>
                <a:sysClr val="window" lastClr="FFFFFF"/>
              </a:solidFill>
              <a:latin typeface="仿宋" panose="02010609060101010101" pitchFamily="3" charset="-122"/>
              <a:ea typeface="仿宋" panose="02010609060101010101" pitchFamily="3" charset="-122"/>
              <a:cs typeface="+mn-cs"/>
            </a:rPr>
            <a:t>银行个人客户投资风险评估问卷</a:t>
          </a:r>
          <a:endParaRPr sz="6500"/>
        </a:p>
      </dsp:txBody>
      <dsp:txXfrm>
        <a:off x="1420007" y="85285"/>
        <a:ext cx="1014290" cy="608574"/>
      </dsp:txXfrm>
    </dsp:sp>
    <dsp:sp modelId="{08105583-511A-4652-8B47-22F6C32F5024}">
      <dsp:nvSpPr>
        <dsp:cNvPr id="6" name="右箭头 5"/>
        <dsp:cNvSpPr/>
      </dsp:nvSpPr>
      <dsp:spPr bwMode="white">
        <a:xfrm>
          <a:off x="2529640" y="263800"/>
          <a:ext cx="215030" cy="251544"/>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hemeClr val="accent1">
            <a:tint val="60000"/>
          </a:schemeClr>
        </a:lnRef>
        <a:fillRef idx="1">
          <a:schemeClr val="accent1">
            <a:tint val="60000"/>
          </a:schemeClr>
        </a:fillRef>
        <a:effectRef idx="0">
          <a:scrgbClr r="0" g="0" b="0"/>
        </a:effectRef>
        <a:fontRef idx="minor">
          <a:schemeClr val="lt1"/>
        </a:fontRef>
      </dsp:style>
      <dsp:txBody>
        <a:bodyPr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zh-CN" altLang="en-US" sz="800">
            <a:solidFill>
              <a:sysClr val="window" lastClr="FFFFFF"/>
            </a:solidFill>
            <a:latin typeface="仿宋" panose="02010609060101010101" pitchFamily="3" charset="-122"/>
            <a:ea typeface="仿宋" panose="02010609060101010101" pitchFamily="3" charset="-122"/>
            <a:cs typeface="+mn-cs"/>
          </a:endParaRPr>
        </a:p>
      </dsp:txBody>
      <dsp:txXfrm>
        <a:off x="2529640" y="263800"/>
        <a:ext cx="215030" cy="251544"/>
      </dsp:txXfrm>
    </dsp:sp>
    <dsp:sp modelId="{539D016E-4044-4299-87E7-242D4E1728DD}">
      <dsp:nvSpPr>
        <dsp:cNvPr id="7" name="圆角矩形 6"/>
        <dsp:cNvSpPr/>
      </dsp:nvSpPr>
      <dsp:spPr bwMode="white">
        <a:xfrm>
          <a:off x="2840013" y="85285"/>
          <a:ext cx="1014290" cy="60857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30480" tIns="30480" rIns="30480" bIns="3048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zh-CN" altLang="en-US" sz="800">
              <a:solidFill>
                <a:sysClr val="window" lastClr="FFFFFF"/>
              </a:solidFill>
              <a:latin typeface="仿宋" panose="02010609060101010101" pitchFamily="3" charset="-122"/>
              <a:ea typeface="仿宋" panose="02010609060101010101" pitchFamily="3" charset="-122"/>
              <a:cs typeface="+mn-cs"/>
            </a:rPr>
            <a:t>系统生成相应的客户风险承受能力评估结果</a:t>
          </a:r>
        </a:p>
      </dsp:txBody>
      <dsp:txXfrm>
        <a:off x="2840013" y="85285"/>
        <a:ext cx="1014290" cy="608574"/>
      </dsp:txXfrm>
    </dsp:sp>
    <dsp:sp modelId="{E1F947AF-62DB-4160-B069-2F5BA19A9DA6}">
      <dsp:nvSpPr>
        <dsp:cNvPr id="8" name="右箭头 7"/>
        <dsp:cNvSpPr/>
      </dsp:nvSpPr>
      <dsp:spPr bwMode="white">
        <a:xfrm>
          <a:off x="3949647" y="263800"/>
          <a:ext cx="215030" cy="251544"/>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hemeClr val="accent1">
            <a:tint val="60000"/>
          </a:schemeClr>
        </a:lnRef>
        <a:fillRef idx="1">
          <a:schemeClr val="accent1">
            <a:tint val="60000"/>
          </a:schemeClr>
        </a:fillRef>
        <a:effectRef idx="0">
          <a:scrgbClr r="0" g="0" b="0"/>
        </a:effectRef>
        <a:fontRef idx="minor">
          <a:schemeClr val="lt1"/>
        </a:fontRef>
      </dsp:style>
      <dsp:txBody>
        <a:bodyPr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zh-CN" altLang="en-US" sz="800">
            <a:solidFill>
              <a:sysClr val="window" lastClr="FFFFFF"/>
            </a:solidFill>
            <a:latin typeface="仿宋" panose="02010609060101010101" pitchFamily="3" charset="-122"/>
            <a:ea typeface="仿宋" panose="02010609060101010101" pitchFamily="3" charset="-122"/>
            <a:cs typeface="+mn-cs"/>
          </a:endParaRPr>
        </a:p>
      </dsp:txBody>
      <dsp:txXfrm>
        <a:off x="3949647" y="263800"/>
        <a:ext cx="215030" cy="251544"/>
      </dsp:txXfrm>
    </dsp:sp>
    <dsp:sp modelId="{60F9A542-D2E4-4A00-A6CB-527749BE0BC9}">
      <dsp:nvSpPr>
        <dsp:cNvPr id="9" name="圆角矩形 8"/>
        <dsp:cNvSpPr/>
      </dsp:nvSpPr>
      <dsp:spPr bwMode="white">
        <a:xfrm>
          <a:off x="4260020" y="85285"/>
          <a:ext cx="1014290" cy="60857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30480" tIns="30480" rIns="30480" bIns="3048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zh-CN" altLang="en-US" sz="800">
              <a:solidFill>
                <a:sysClr val="window" lastClr="FFFFFF"/>
              </a:solidFill>
              <a:latin typeface="仿宋" panose="02010609060101010101" pitchFamily="3" charset="-122"/>
              <a:ea typeface="仿宋" panose="02010609060101010101" pitchFamily="3" charset="-122"/>
              <a:cs typeface="+mn-cs"/>
            </a:rPr>
            <a:t>客户确认评估结果</a:t>
          </a:r>
        </a:p>
      </dsp:txBody>
      <dsp:txXfrm>
        <a:off x="4260020" y="85285"/>
        <a:ext cx="1014290" cy="60857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rSet qsTypeId="urn:microsoft.com/office/officeart/2005/8/quickstyle/simple5"/>
        </dgm:pt>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96A23-D3F4-4081-862D-2DB85039356F}">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1018</Words>
  <Characters>5806</Characters>
  <Lines>48</Lines>
  <Paragraphs>13</Paragraphs>
  <TotalTime>0</TotalTime>
  <ScaleCrop>false</ScaleCrop>
  <LinksUpToDate>false</LinksUpToDate>
  <CharactersWithSpaces>6811</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2020-06-29T09:11:00Z</dcterms:created>
  <dc:creator>uclif</dc:creator>
  <cp:lastModifiedBy>80361295</cp:lastModifiedBy>
  <dcterms:modified xsi:type="dcterms:W3CDTF">2024-12-13T08:05:54Z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DA2E7878E6944180AD12CBE98B21ABA0</vt:lpwstr>
  </property>
</Properties>
</file>