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AA4C2">
      <w:pPr>
        <w:adjustRightInd w:val="0"/>
        <w:spacing w:line="276" w:lineRule="auto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【兴银理财【稳添利最短持有期日开固收类】理财产品】</w:t>
      </w:r>
    </w:p>
    <w:p w14:paraId="2B3A8572">
      <w:pPr>
        <w:adjustRightInd w:val="0"/>
        <w:spacing w:line="276" w:lineRule="auto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6707E5C5">
      <w:pPr>
        <w:pStyle w:val="7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3F20E458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4E071E59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5464DC06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7D7DD61">
      <w:pPr>
        <w:ind w:firstLine="360" w:firstLineChars="200"/>
        <w:rPr>
          <w:rFonts w:ascii="宋体" w:hAnsi="宋体"/>
          <w:sz w:val="18"/>
          <w:szCs w:val="18"/>
        </w:rPr>
      </w:pPr>
    </w:p>
    <w:p w14:paraId="526D245D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44734A3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1C605A9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209B84B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14:paraId="26CF4D3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1D6F18B8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258A2C65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53C4DBF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 w14:paraId="28D7EBD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00E128C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hint="eastAsia" w:ascii="宋体" w:hAnsi="宋体"/>
          <w:sz w:val="18"/>
          <w:szCs w:val="18"/>
          <w:lang w:val="en-US" w:eastAsia="zh-CN"/>
        </w:rPr>
        <w:t>5五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15CBC3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6D22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19BA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48C8B4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E976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145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ADCD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安逸型（C1）及以上</w:t>
            </w:r>
          </w:p>
        </w:tc>
      </w:tr>
      <w:tr w14:paraId="0ABDF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6547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D584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308B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谨慎型（C2）及以上</w:t>
            </w:r>
          </w:p>
        </w:tc>
      </w:tr>
      <w:tr w14:paraId="458B50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C7F5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ED9F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34C0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稳健型（C3）及以上</w:t>
            </w:r>
          </w:p>
        </w:tc>
      </w:tr>
      <w:tr w14:paraId="6A94D3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AD90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1500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4386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增长型（C4）及以上</w:t>
            </w:r>
          </w:p>
        </w:tc>
      </w:tr>
      <w:tr w14:paraId="4BF86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15AD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E5E8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74B0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进取型（C5）及以上</w:t>
            </w:r>
          </w:p>
        </w:tc>
      </w:tr>
    </w:tbl>
    <w:p w14:paraId="275FDE52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14:paraId="7A17CF6B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52A396C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4E53459E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352A4FA9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4C844899"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4BFB890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3135A5D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5E045765"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3DA648F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  <w:bookmarkEnd w:id="0"/>
    </w:p>
    <w:p w14:paraId="0DB012D8"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33824CB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1D437E2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463AD279">
      <w:pPr>
        <w:ind w:right="84" w:rightChars="40"/>
        <w:jc w:val="right"/>
        <w:rPr>
          <w:rFonts w:ascii="宋体" w:hAnsi="宋体"/>
          <w:sz w:val="18"/>
          <w:szCs w:val="18"/>
        </w:rPr>
      </w:pPr>
    </w:p>
    <w:p w14:paraId="22A5440C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589FFA98">
      <w:pPr>
        <w:adjustRightInd w:val="0"/>
        <w:spacing w:line="280" w:lineRule="atLeast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【兴银理财【稳添利最短持有期日开固收类】理财产品】</w:t>
      </w:r>
    </w:p>
    <w:p w14:paraId="2657E686">
      <w:pPr>
        <w:adjustRightInd w:val="0"/>
        <w:spacing w:line="280" w:lineRule="atLeast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68D6B13A">
      <w:pPr>
        <w:pStyle w:val="7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4050BC7D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1CCD2C53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433709D0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56CFCD0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6669064F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2445FE6A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4B23F17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5A7F4A4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14:paraId="05140C5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23AF7406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1FBD0CA0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76E2D54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 w14:paraId="579F657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6733CC7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6259A8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67F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7AF7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4CF76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BA1F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98CC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622A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 w14:paraId="050C3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4520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0EF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590C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 w14:paraId="203BC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80B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B9F5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4E40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 w14:paraId="42B46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A274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22C8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327D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 w14:paraId="14CF7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2FBD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4B68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C91D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 w14:paraId="1D8885F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14:paraId="09C33B1B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37C0F88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5C409ABC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48B5160B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29191072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2699ACE0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63FBCC10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6EF93EAD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01CE824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22F46C95"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3ACB5DC2">
      <w:pPr>
        <w:ind w:firstLine="360" w:firstLineChars="200"/>
        <w:rPr>
          <w:rFonts w:ascii="宋体" w:hAnsi="宋体"/>
          <w:sz w:val="18"/>
          <w:szCs w:val="18"/>
        </w:rPr>
      </w:pPr>
      <w:bookmarkStart w:id="1" w:name="_GoBack"/>
      <w:bookmarkEnd w:id="1"/>
      <w:r>
        <w:rPr>
          <w:rFonts w:hint="eastAsia" w:ascii="宋体" w:hAnsi="宋体"/>
          <w:sz w:val="18"/>
          <w:szCs w:val="18"/>
        </w:rPr>
        <w:t>3.销售机构：【】</w:t>
      </w:r>
    </w:p>
    <w:p w14:paraId="17722A9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07D121C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182DAB9D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p w14:paraId="50F1DCA5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6D2CB978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84051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50103DB7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11248"/>
    <w:rsid w:val="1831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2025-12-26T02:24:00Z</dcterms:created>
  <dc:creator>Li Yan</dc:creator>
  <cp:lastModifiedBy>Li Yan</cp:lastModifiedBy>
  <dcterms:modified xsi:type="dcterms:W3CDTF">2025-12-26T02:27:37Z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041D17235D9A470EAF3F747F55F5AC43_11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