
<file path=[Content_Types].xml><?xml version="1.0" encoding="utf-8"?>
<Types xmlns="http://schemas.openxmlformats.org/package/2006/content-types">
  <Default ContentType="image/jpeg" Extension="jpeg"/>
  <Default ContentType="image/.jpg" Extension="jp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customXmlProperties+xml" PartName="/customXml/itemProps7.xml"/>
  <Override ContentType="application/vnd.openxmlformats-officedocument.customXmlProperties+xml" PartName="/customXml/itemProps8.xml"/>
  <Override ContentType="application/vnd.openxmlformats-officedocument.customXmlProperties+xml" PartName="/customXml/itemProps9.xml"/>
  <Override ContentType="application/vnd.openxmlformats-officedocument.customXmlProperties+xml" PartName="/customXml/itemProps10.xml"/>
  <Override ContentType="application/vnd.openxmlformats-officedocument.customXmlProperties+xml" PartName="/customXml/itemProps11.xml"/>
  <Override ContentType="application/vnd.openxmlformats-officedocument.customXmlProperties+xml" PartName="/customXml/itemProps12.xml"/>
  <Override ContentType="application/vnd.openxmlformats-officedocument.customXmlProperties+xml" PartName="/customXml/itemProps13.xml"/>
  <Override ContentType="application/vnd.openxmlformats-officedocument.customXmlProperties+xml" PartName="/customXml/itemProps14.xml"/>
  <Override ContentType="application/vnd.openxmlformats-officedocument.customXmlProperties+xml" PartName="/customXml/itemProps15.xml"/>
  <Override ContentType="application/vnd.openxmlformats-officedocument.customXmlProperties+xml" PartName="/customXml/itemProps16.xml"/>
  <Override ContentType="application/vnd.openxmlformats-officedocument.customXmlProperties+xml" PartName="/customXml/itemProps17.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BE26C">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49B8926B">
      <w:pPr>
        <w:adjustRightInd w:val="0"/>
        <w:spacing w:line="360" w:lineRule="auto"/>
        <w:jc w:val="center"/>
        <w:rPr>
          <w:rStyle w:val="27"/>
          <w:rFonts w:ascii="宋体" w:hAnsi="宋体"/>
          <w:sz w:val="32"/>
          <w:szCs w:val="32"/>
        </w:rPr>
      </w:pPr>
    </w:p>
    <w:p w14:paraId="7438CF58">
      <w:pPr>
        <w:adjustRightInd w:val="0"/>
        <w:spacing w:line="360" w:lineRule="auto"/>
        <w:jc w:val="center"/>
        <w:rPr>
          <w:rStyle w:val="27"/>
          <w:rFonts w:ascii="宋体" w:hAnsi="宋体"/>
          <w:sz w:val="32"/>
          <w:szCs w:val="32"/>
        </w:rPr>
      </w:pPr>
    </w:p>
    <w:p w14:paraId="50A52D15">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7620" b="762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7DE326A">
      <w:pPr>
        <w:adjustRightInd w:val="0"/>
        <w:spacing w:line="360" w:lineRule="auto"/>
        <w:jc w:val="center"/>
        <w:rPr>
          <w:rStyle w:val="27"/>
          <w:rFonts w:ascii="宋体" w:hAnsi="宋体"/>
          <w:sz w:val="32"/>
          <w:szCs w:val="32"/>
        </w:rPr>
      </w:pPr>
    </w:p>
    <w:p w14:paraId="19D9C1EA">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rPr>
        <w:t>兴银理财【稳添利日盈日开固收类】理财产品</w:t>
      </w:r>
      <w:permEnd w:id="0"/>
    </w:p>
    <w:p w14:paraId="19AD0F2B">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3CE45576">
      <w:pPr>
        <w:adjustRightInd w:val="0"/>
        <w:spacing w:line="360" w:lineRule="auto"/>
        <w:jc w:val="center"/>
        <w:rPr>
          <w:rStyle w:val="27"/>
          <w:rFonts w:ascii="宋体" w:hAnsi="宋体"/>
          <w:sz w:val="32"/>
          <w:szCs w:val="32"/>
        </w:rPr>
      </w:pPr>
    </w:p>
    <w:p w14:paraId="20E0AF4E">
      <w:pPr>
        <w:adjustRightInd w:val="0"/>
        <w:spacing w:line="360" w:lineRule="auto"/>
        <w:jc w:val="center"/>
        <w:rPr>
          <w:rStyle w:val="27"/>
          <w:rFonts w:ascii="黑体" w:hAnsi="黑体" w:eastAsia="黑体"/>
          <w:bCs w:val="0"/>
          <w:sz w:val="28"/>
          <w:szCs w:val="28"/>
        </w:rPr>
      </w:pPr>
    </w:p>
    <w:p w14:paraId="4A7C5CEC">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4038115B">
      <w:pPr>
        <w:adjustRightInd w:val="0"/>
        <w:spacing w:line="360" w:lineRule="auto"/>
        <w:jc w:val="center"/>
        <w:rPr>
          <w:rStyle w:val="27"/>
          <w:rFonts w:ascii="宋体" w:hAnsi="宋体"/>
          <w:sz w:val="32"/>
          <w:szCs w:val="32"/>
        </w:rPr>
      </w:pPr>
    </w:p>
    <w:p w14:paraId="65079D21">
      <w:pPr>
        <w:adjustRightInd w:val="0"/>
        <w:spacing w:line="360" w:lineRule="auto"/>
        <w:jc w:val="center"/>
        <w:rPr>
          <w:rStyle w:val="27"/>
          <w:rFonts w:ascii="宋体" w:hAnsi="宋体"/>
          <w:sz w:val="32"/>
          <w:szCs w:val="32"/>
        </w:rPr>
      </w:pPr>
    </w:p>
    <w:p w14:paraId="67ADEF18">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【2026】年【1】月</w:t>
      </w:r>
      <w:permEnd w:id="1"/>
    </w:p>
    <w:p w14:paraId="6537A377">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6664F53B">
          <w:pPr>
            <w:pStyle w:val="48"/>
            <w:spacing w:line="360" w:lineRule="auto"/>
            <w:jc w:val="center"/>
          </w:pPr>
          <w:bookmarkStart w:id="0" w:name="_Toc78276587"/>
          <w:permStart w:id="2" w:edGrp="everyone"/>
          <w:r>
            <w:rPr>
              <w:lang w:val="zh-CN"/>
            </w:rPr>
            <w:t>目录</w:t>
          </w:r>
        </w:p>
        <w:p w14:paraId="4C150A23">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"_Toc11639"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_Toc11639 \h </w:instrText>
          </w:r>
          <w:r>
            <w:fldChar w:fldCharType="separate"/>
          </w:r>
          <w:r>
            <w:t>3</w:t>
          </w:r>
          <w:r>
            <w:fldChar w:fldCharType="end"/>
          </w:r>
          <w:r>
            <w:fldChar w:fldCharType="end"/>
          </w:r>
        </w:p>
        <w:p w14:paraId="6FA15FD5">
          <w:pPr>
            <w:pStyle w:val="16"/>
            <w:tabs>
              <w:tab w:val="right" w:leader="dot" w:pos="8306"/>
            </w:tabs>
          </w:pPr>
          <w:r>
            <w:fldChar w:fldCharType="begin"/>
          </w:r>
          <w:r>
            <w:instrText xml:space="preserve"> HYPERLINK \l "_Toc662" </w:instrText>
          </w:r>
          <w:r>
            <w:fldChar w:fldCharType="separate"/>
          </w:r>
          <w:r>
            <w:rPr>
              <w:rFonts w:hint="eastAsia" w:hAnsi="宋体"/>
              <w:szCs w:val="28"/>
            </w:rPr>
            <w:t xml:space="preserve">第二条  理财产品基本情况 </w:t>
          </w:r>
          <w:r>
            <w:tab/>
          </w:r>
          <w:r>
            <w:fldChar w:fldCharType="begin"/>
          </w:r>
          <w:r>
            <w:instrText xml:space="preserve"> PAGEREF _Toc662 \h </w:instrText>
          </w:r>
          <w:r>
            <w:fldChar w:fldCharType="separate"/>
          </w:r>
          <w:r>
            <w:t>8</w:t>
          </w:r>
          <w:r>
            <w:fldChar w:fldCharType="end"/>
          </w:r>
          <w:r>
            <w:fldChar w:fldCharType="end"/>
          </w:r>
        </w:p>
        <w:p w14:paraId="0AC1D516">
          <w:pPr>
            <w:pStyle w:val="16"/>
            <w:tabs>
              <w:tab w:val="right" w:leader="dot" w:pos="8306"/>
            </w:tabs>
          </w:pPr>
          <w:r>
            <w:fldChar w:fldCharType="begin"/>
          </w:r>
          <w:r>
            <w:instrText xml:space="preserve"> HYPERLINK \l "_Toc26096"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_Toc26096 \h </w:instrText>
          </w:r>
          <w:r>
            <w:fldChar w:fldCharType="separate"/>
          </w:r>
          <w:r>
            <w:t>15</w:t>
          </w:r>
          <w:r>
            <w:fldChar w:fldCharType="end"/>
          </w:r>
          <w:r>
            <w:fldChar w:fldCharType="end"/>
          </w:r>
        </w:p>
        <w:p w14:paraId="5DCC902E">
          <w:pPr>
            <w:pStyle w:val="16"/>
            <w:tabs>
              <w:tab w:val="right" w:leader="dot" w:pos="8306"/>
            </w:tabs>
          </w:pPr>
          <w:r>
            <w:fldChar w:fldCharType="begin"/>
          </w:r>
          <w:r>
            <w:instrText xml:space="preserve"> HYPERLINK \l "_Toc16237"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_Toc16237 \h </w:instrText>
          </w:r>
          <w:r>
            <w:fldChar w:fldCharType="separate"/>
          </w:r>
          <w:r>
            <w:t>17</w:t>
          </w:r>
          <w:r>
            <w:fldChar w:fldCharType="end"/>
          </w:r>
          <w:r>
            <w:fldChar w:fldCharType="end"/>
          </w:r>
        </w:p>
        <w:p w14:paraId="40BE5E15">
          <w:pPr>
            <w:pStyle w:val="16"/>
            <w:tabs>
              <w:tab w:val="right" w:leader="dot" w:pos="8306"/>
            </w:tabs>
          </w:pPr>
          <w:r>
            <w:fldChar w:fldCharType="begin"/>
          </w:r>
          <w:r>
            <w:instrText xml:space="preserve"> HYPERLINK \l "_Toc25928"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_Toc25928 \h </w:instrText>
          </w:r>
          <w:r>
            <w:fldChar w:fldCharType="separate"/>
          </w:r>
          <w:r>
            <w:t>21</w:t>
          </w:r>
          <w:r>
            <w:fldChar w:fldCharType="end"/>
          </w:r>
          <w:r>
            <w:fldChar w:fldCharType="end"/>
          </w:r>
        </w:p>
        <w:p w14:paraId="7602511D">
          <w:pPr>
            <w:pStyle w:val="16"/>
            <w:tabs>
              <w:tab w:val="right" w:leader="dot" w:pos="8306"/>
            </w:tabs>
          </w:pPr>
          <w:r>
            <w:fldChar w:fldCharType="begin"/>
          </w:r>
          <w:r>
            <w:instrText xml:space="preserve"> HYPERLINK \l "_Toc26100"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_Toc26100 \h </w:instrText>
          </w:r>
          <w:r>
            <w:fldChar w:fldCharType="separate"/>
          </w:r>
          <w:r>
            <w:t>24</w:t>
          </w:r>
          <w:r>
            <w:fldChar w:fldCharType="end"/>
          </w:r>
          <w:r>
            <w:fldChar w:fldCharType="end"/>
          </w:r>
        </w:p>
        <w:p w14:paraId="37004017">
          <w:pPr>
            <w:pStyle w:val="16"/>
            <w:tabs>
              <w:tab w:val="right" w:leader="dot" w:pos="8306"/>
            </w:tabs>
          </w:pPr>
          <w:r>
            <w:fldChar w:fldCharType="begin"/>
          </w:r>
          <w:r>
            <w:instrText xml:space="preserve"> HYPERLINK \l "_Toc12709"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_Toc12709 \h </w:instrText>
          </w:r>
          <w:r>
            <w:fldChar w:fldCharType="separate"/>
          </w:r>
          <w:r>
            <w:t>25</w:t>
          </w:r>
          <w:r>
            <w:fldChar w:fldCharType="end"/>
          </w:r>
          <w:r>
            <w:fldChar w:fldCharType="end"/>
          </w:r>
        </w:p>
        <w:p w14:paraId="55E23A27">
          <w:pPr>
            <w:pStyle w:val="16"/>
            <w:tabs>
              <w:tab w:val="right" w:leader="dot" w:pos="8306"/>
            </w:tabs>
          </w:pPr>
          <w:r>
            <w:fldChar w:fldCharType="begin"/>
          </w:r>
          <w:r>
            <w:instrText xml:space="preserve"> HYPERLINK \l "_Toc14373"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_Toc14373 \h </w:instrText>
          </w:r>
          <w:r>
            <w:fldChar w:fldCharType="separate"/>
          </w:r>
          <w:r>
            <w:t>29</w:t>
          </w:r>
          <w:r>
            <w:fldChar w:fldCharType="end"/>
          </w:r>
          <w:r>
            <w:fldChar w:fldCharType="end"/>
          </w:r>
        </w:p>
        <w:p w14:paraId="57978350">
          <w:pPr>
            <w:pStyle w:val="16"/>
            <w:tabs>
              <w:tab w:val="right" w:leader="dot" w:pos="8306"/>
            </w:tabs>
          </w:pPr>
          <w:r>
            <w:fldChar w:fldCharType="begin"/>
          </w:r>
          <w:r>
            <w:instrText xml:space="preserve"> HYPERLINK \l "_Toc12257"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_Toc12257 \h </w:instrText>
          </w:r>
          <w:r>
            <w:fldChar w:fldCharType="separate"/>
          </w:r>
          <w:r>
            <w:t>30</w:t>
          </w:r>
          <w:r>
            <w:fldChar w:fldCharType="end"/>
          </w:r>
          <w:r>
            <w:fldChar w:fldCharType="end"/>
          </w:r>
        </w:p>
        <w:p w14:paraId="61D6706D">
          <w:pPr>
            <w:pStyle w:val="16"/>
            <w:tabs>
              <w:tab w:val="right" w:leader="dot" w:pos="8306"/>
            </w:tabs>
          </w:pPr>
          <w:r>
            <w:fldChar w:fldCharType="begin"/>
          </w:r>
          <w:r>
            <w:instrText xml:space="preserve"> HYPERLINK \l "_Toc3880"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_Toc3880 \h </w:instrText>
          </w:r>
          <w:r>
            <w:fldChar w:fldCharType="separate"/>
          </w:r>
          <w:r>
            <w:t>32</w:t>
          </w:r>
          <w:r>
            <w:fldChar w:fldCharType="end"/>
          </w:r>
          <w:r>
            <w:fldChar w:fldCharType="end"/>
          </w:r>
        </w:p>
        <w:p w14:paraId="2D255129">
          <w:pPr>
            <w:pStyle w:val="16"/>
            <w:tabs>
              <w:tab w:val="right" w:leader="dot" w:pos="8306"/>
            </w:tabs>
          </w:pPr>
          <w:r>
            <w:fldChar w:fldCharType="begin"/>
          </w:r>
          <w:r>
            <w:instrText xml:space="preserve"> HYPERLINK \l "_Toc9552"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_Toc9552 \h </w:instrText>
          </w:r>
          <w:r>
            <w:fldChar w:fldCharType="separate"/>
          </w:r>
          <w:r>
            <w:t>34</w:t>
          </w:r>
          <w:r>
            <w:fldChar w:fldCharType="end"/>
          </w:r>
          <w:r>
            <w:fldChar w:fldCharType="end"/>
          </w:r>
        </w:p>
        <w:p w14:paraId="08C78EE2">
          <w:pPr>
            <w:pStyle w:val="16"/>
            <w:tabs>
              <w:tab w:val="right" w:leader="dot" w:pos="8306"/>
            </w:tabs>
          </w:pPr>
          <w:r>
            <w:fldChar w:fldCharType="begin"/>
          </w:r>
          <w:r>
            <w:instrText xml:space="preserve"> HYPERLINK \l "_Toc28813"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_Toc28813 \h </w:instrText>
          </w:r>
          <w:r>
            <w:fldChar w:fldCharType="separate"/>
          </w:r>
          <w:r>
            <w:t>36</w:t>
          </w:r>
          <w:r>
            <w:fldChar w:fldCharType="end"/>
          </w:r>
          <w:r>
            <w:fldChar w:fldCharType="end"/>
          </w:r>
        </w:p>
        <w:p w14:paraId="48E1CC49">
          <w:pPr>
            <w:spacing w:line="360" w:lineRule="auto"/>
          </w:pPr>
          <w:r>
            <w:fldChar w:fldCharType="end"/>
          </w:r>
        </w:p>
      </w:sdtContent>
    </w:sdt>
    <w:permEnd w:id="2"/>
    <w:p w14:paraId="57D35381">
      <w:pPr>
        <w:rPr>
          <w:rFonts w:ascii="Times New Roman"/>
          <w:sz w:val="30"/>
        </w:rPr>
      </w:pPr>
    </w:p>
    <w:p w14:paraId="35B8273B">
      <w:pPr>
        <w:rPr>
          <w:rFonts w:ascii="Times New Roman"/>
          <w:sz w:val="30"/>
        </w:rPr>
      </w:pPr>
      <w:r>
        <w:rPr>
          <w:rFonts w:ascii="Times New Roman"/>
          <w:sz w:val="30"/>
        </w:rPr>
        <w:br w:type="page"/>
      </w:r>
    </w:p>
    <w:p w14:paraId="7E5D4E71">
      <w:pPr>
        <w:pStyle w:val="2"/>
        <w:spacing w:before="0" w:after="0" w:line="360" w:lineRule="auto"/>
        <w:jc w:val="center"/>
        <w:rPr>
          <w:rFonts w:ascii="Times New Roman"/>
          <w:sz w:val="30"/>
        </w:rPr>
      </w:pPr>
      <w:bookmarkStart w:id="1" w:name="_Toc103260528"/>
      <w:bookmarkStart w:id="2" w:name="_Toc11639"/>
      <w:bookmarkStart w:id="3" w:name="_Toc19573"/>
      <w:bookmarkStart w:id="4" w:name="_Toc92377130"/>
      <w:bookmarkStart w:id="5" w:name="_Toc15989"/>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bookmarkEnd w:id="5"/>
    </w:p>
    <w:p w14:paraId="0CE19E9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08544647">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3406A2A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6435844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兴业银行”）。兴业银行成立于1988年，于2005年开展资产托管业务，具备理财产品托管资格。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40A3A9D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52BA9B4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50BDA54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4CAAC5A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4FE052F3">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4B153A3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51E794D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7E0F28A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1E40B004">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061C69F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1E6641E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5"/>
      <w:r>
        <w:rPr>
          <w:rFonts w:hint="eastAsia" w:asciiTheme="majorEastAsia" w:hAnsiTheme="majorEastAsia" w:eastAsiaTheme="majorEastAsia"/>
          <w:bCs/>
          <w:sz w:val="18"/>
          <w:szCs w:val="18"/>
        </w:rPr>
        <w:t>投资协议书》，以及对该文件的有效修改或补充。</w:t>
      </w:r>
    </w:p>
    <w:p w14:paraId="12620FE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6"/>
      <w:r>
        <w:rPr>
          <w:rFonts w:hint="eastAsia" w:asciiTheme="majorEastAsia" w:hAnsiTheme="majorEastAsia" w:eastAsiaTheme="majorEastAsia"/>
          <w:bCs/>
          <w:sz w:val="18"/>
          <w:szCs w:val="18"/>
        </w:rPr>
        <w:t>产品说明书》，以及对该文件的有效修改或补充。</w:t>
      </w:r>
    </w:p>
    <w:p w14:paraId="579D786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14:paraId="32BAFAF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14:paraId="5A9D44F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rPr>
        <w:t>兴银理财【稳添利日盈日开固收类】理财产品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稳添利日盈日开固收类</w:t>
      </w:r>
      <w:r>
        <w:rPr>
          <w:rFonts w:hint="eastAsia" w:asciiTheme="majorEastAsia" w:hAnsiTheme="majorEastAsia" w:eastAsiaTheme="majorEastAsia"/>
          <w:bCs/>
          <w:sz w:val="18"/>
          <w:szCs w:val="18"/>
        </w:rPr>
        <w:t>】理财产品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14:paraId="1AAB8580">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57F4E25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7952DB6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1BCB160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2832BE6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5FCBC02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6A2A642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3FA18EC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7905DB5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41F09C4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45FD22E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14:paraId="0A128BF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14:paraId="4BEFFF34">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66094B2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2851F83B">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375C63E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62ACFE4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7BC235FF">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16016748">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17F3EF2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6ECC78B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7C0A7B0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38D1610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28D0203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3673351A">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4152FC9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35954E2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2C243E19">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3D406FA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6584D03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48512EC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2BA3EA1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6DA1A4F5">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34863CE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3E3E92C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3FC7A03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r>
        <w:rPr>
          <w:rFonts w:asciiTheme="majorEastAsia" w:hAnsiTheme="majorEastAsia" w:eastAsiaTheme="majorEastAsia"/>
          <w:bCs/>
          <w:color w:val="auto"/>
          <w:sz w:val="18"/>
          <w:szCs w:val="18"/>
        </w:rPr>
        <w:t xml:space="preserve"> </w:t>
      </w:r>
    </w:p>
    <w:p w14:paraId="69E120D1">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2FC20DC8">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7991945B">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6769F6FC">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7B5038B9">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354A84ED">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20B8D08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282A007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252DCAC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14:paraId="3EC7E81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14:paraId="7FA4E88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14:paraId="74B7352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14:paraId="46707DD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213903A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382AB74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14:paraId="78CC923D">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3F83E6C8">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493A55E8">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3A8E01F9">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5CE0F8A6">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6FC6FE83">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7A2E64FE">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4A30C129">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028636F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135C688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2B30E65D">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742DC45B">
      <w:pPr>
        <w:widowControl/>
        <w:spacing w:line="360" w:lineRule="auto"/>
        <w:jc w:val="left"/>
        <w:rPr>
          <w:rFonts w:ascii="宋体" w:hAnsi="宋体"/>
          <w:color w:val="000000"/>
          <w:kern w:val="0"/>
          <w:sz w:val="28"/>
          <w:szCs w:val="28"/>
        </w:rPr>
      </w:pPr>
      <w:r>
        <w:rPr>
          <w:rFonts w:hAnsi="宋体"/>
          <w:sz w:val="28"/>
          <w:szCs w:val="28"/>
        </w:rPr>
        <w:br w:type="page"/>
      </w:r>
    </w:p>
    <w:p w14:paraId="324771CE">
      <w:pPr>
        <w:pStyle w:val="2"/>
        <w:spacing w:before="0" w:after="0" w:line="360" w:lineRule="auto"/>
        <w:jc w:val="center"/>
        <w:rPr>
          <w:rFonts w:hAnsi="宋体"/>
          <w:sz w:val="28"/>
          <w:szCs w:val="28"/>
        </w:rPr>
      </w:pPr>
      <w:bookmarkStart w:id="6" w:name="_Toc3887"/>
      <w:bookmarkStart w:id="7" w:name="_Toc103260529"/>
      <w:bookmarkStart w:id="8" w:name="_Toc79154665"/>
      <w:bookmarkStart w:id="9" w:name="_Toc92377131"/>
      <w:bookmarkStart w:id="10" w:name="_Toc32003"/>
      <w:bookmarkStart w:id="11" w:name="_Toc662"/>
      <w:r>
        <w:rPr>
          <w:rFonts w:hint="eastAsia" w:hAnsi="宋体"/>
          <w:sz w:val="28"/>
          <w:szCs w:val="28"/>
        </w:rPr>
        <w:t>第二条  理财产品基本情况</w:t>
      </w:r>
      <w:bookmarkEnd w:id="6"/>
      <w:bookmarkEnd w:id="7"/>
      <w:bookmarkEnd w:id="8"/>
      <w:bookmarkEnd w:id="9"/>
      <w:r>
        <w:rPr>
          <w:rFonts w:hint="eastAsia" w:hAnsi="宋体"/>
          <w:sz w:val="28"/>
          <w:szCs w:val="28"/>
        </w:rPr>
        <w:t xml:space="preserve"> </w:t>
      </w:r>
      <w:bookmarkEnd w:id="10"/>
      <w:bookmarkEnd w:id="11"/>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25B4CED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263C71FF">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top"/>
          </w:tcPr>
          <w:p w14:paraId="09BA27BC">
            <w:pPr>
              <w:spacing w:line="360" w:lineRule="auto"/>
              <w:jc w:val="left"/>
              <w:rPr>
                <w:rFonts w:ascii="宋体" w:hAnsi="宋体"/>
                <w:bCs/>
                <w:sz w:val="18"/>
                <w:szCs w:val="18"/>
              </w:rPr>
            </w:pPr>
            <w:r>
              <w:rPr>
                <w:rFonts w:hint="eastAsia" w:ascii="宋体" w:hAnsi="宋体"/>
                <w:sz w:val="18"/>
                <w:szCs w:val="18"/>
              </w:rPr>
              <w:t>【</w:t>
            </w:r>
            <w:r>
              <w:rPr>
                <w:rFonts w:hint="eastAsia" w:ascii="宋体" w:hAnsi="宋体"/>
                <w:sz w:val="18"/>
                <w:szCs w:val="18"/>
                <w:lang w:eastAsia="zh-CN"/>
              </w:rPr>
              <w:t>兴银理财稳添利日盈134号日开固收类理财产品</w:t>
            </w:r>
            <w:r>
              <w:rPr>
                <w:rFonts w:hint="eastAsia" w:ascii="宋体" w:hAnsi="宋体"/>
                <w:sz w:val="18"/>
                <w:szCs w:val="18"/>
              </w:rPr>
              <w:t>】</w:t>
            </w:r>
          </w:p>
        </w:tc>
      </w:tr>
      <w:tr w14:paraId="73C9EA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3182BCAD">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top"/>
          </w:tcPr>
          <w:p w14:paraId="42CCD33B">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【兴银稳添利日盈134号D】 (适用【D】类份额)
</w:t>
            </w:r>
          </w:p>
        </w:tc>
      </w:tr>
      <w:tr w14:paraId="09FBD5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5D8E9AB3">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top"/>
          </w:tcPr>
          <w:p w14:paraId="2A18A70B">
            <w:pPr>
              <w:spacing w:line="360" w:lineRule="auto"/>
              <w:jc w:val="left"/>
              <w:rPr>
                <w:rFonts w:ascii="宋体" w:hAnsi="宋体"/>
                <w:b/>
                <w:sz w:val="18"/>
                <w:szCs w:val="18"/>
              </w:rPr>
            </w:pPr>
            <w:r>
              <w:rPr>
                <w:rFonts w:hint="eastAsia" w:asciiTheme="minorEastAsia" w:hAnsiTheme="minorEastAsia"/>
                <w:sz w:val="18"/>
                <w:szCs w:val="18"/>
              </w:rPr>
              <w:t>【Z7002025001946】</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3DAE84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12711BFB">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21F75269">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9K922340】</w:t>
            </w:r>
          </w:p>
        </w:tc>
      </w:tr>
      <w:tr w14:paraId="786905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38E8A29A">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top"/>
          </w:tcPr>
          <w:p w14:paraId="259E1950">
            <w:pPr>
              <w:spacing w:line="360" w:lineRule="auto"/>
              <w:jc w:val="left"/>
              <w:rPr>
                <w:rFonts w:hAnsi="宋体"/>
                <w:sz w:val="18"/>
                <w:szCs w:val="18"/>
              </w:rPr>
            </w:pPr>
            <w:r>
              <w:rPr>
                <w:rFonts w:hint="eastAsia"/>
              </w:rPr>
              <w:t>【9K92234D】 (适用【D】类份额)
</w:t>
            </w:r>
          </w:p>
        </w:tc>
      </w:tr>
      <w:tr w14:paraId="0A1CCF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29A2F156">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177CEFCC">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0CE149B1">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65E3FA6B">
            <w:pPr>
              <w:spacing w:line="360" w:lineRule="auto"/>
              <w:rPr>
                <w:rFonts w:ascii="宋体" w:hAnsi="宋体"/>
                <w:bCs/>
                <w:sz w:val="18"/>
                <w:szCs w:val="18"/>
              </w:rPr>
            </w:pPr>
            <w:r>
              <w:rPr>
                <w:rFonts w:hint="eastAsia" w:ascii="宋体" w:hAnsi="宋体"/>
                <w:bCs/>
                <w:sz w:val="18"/>
                <w:szCs w:val="18"/>
              </w:rPr>
              <w:t>（1）销售名称</w:t>
            </w:r>
          </w:p>
          <w:p w14:paraId="59B493FB">
            <w:pPr>
              <w:spacing w:line="360" w:lineRule="auto"/>
              <w:rPr>
                <w:rFonts w:ascii="宋体" w:hAnsi="宋体"/>
                <w:bCs/>
                <w:sz w:val="18"/>
                <w:szCs w:val="18"/>
              </w:rPr>
            </w:pPr>
            <w:r>
              <w:rPr>
                <w:rFonts w:hint="eastAsia" w:ascii="宋体" w:hAnsi="宋体"/>
                <w:bCs/>
                <w:sz w:val="18"/>
                <w:szCs w:val="18"/>
              </w:rPr>
              <w:t>（2）收费方式</w:t>
            </w:r>
          </w:p>
          <w:p w14:paraId="3EBDBB03">
            <w:pPr>
              <w:spacing w:line="360" w:lineRule="auto"/>
              <w:rPr>
                <w:rFonts w:ascii="宋体" w:hAnsi="宋体"/>
                <w:bCs/>
                <w:sz w:val="18"/>
                <w:szCs w:val="18"/>
              </w:rPr>
            </w:pPr>
            <w:r>
              <w:rPr>
                <w:rFonts w:hint="eastAsia" w:ascii="宋体" w:hAnsi="宋体"/>
                <w:bCs/>
                <w:sz w:val="18"/>
                <w:szCs w:val="18"/>
              </w:rPr>
              <w:t>（3）销售服务费</w:t>
            </w:r>
          </w:p>
          <w:p w14:paraId="47F5C118">
            <w:pPr>
              <w:spacing w:line="360" w:lineRule="auto"/>
              <w:rPr>
                <w:rFonts w:ascii="宋体" w:hAnsi="宋体"/>
                <w:bCs/>
                <w:sz w:val="18"/>
                <w:szCs w:val="18"/>
              </w:rPr>
            </w:pPr>
            <w:r>
              <w:rPr>
                <w:rFonts w:hint="eastAsia" w:ascii="宋体" w:hAnsi="宋体"/>
                <w:bCs/>
                <w:sz w:val="18"/>
                <w:szCs w:val="18"/>
              </w:rPr>
              <w:t>（4）销售代码</w:t>
            </w:r>
          </w:p>
          <w:p w14:paraId="16D79240">
            <w:pPr>
              <w:spacing w:line="360" w:lineRule="auto"/>
              <w:rPr>
                <w:rFonts w:ascii="宋体" w:hAnsi="宋体"/>
                <w:bCs/>
                <w:sz w:val="18"/>
                <w:szCs w:val="18"/>
              </w:rPr>
            </w:pPr>
            <w:r>
              <w:rPr>
                <w:rFonts w:hint="eastAsia" w:ascii="宋体" w:hAnsi="宋体"/>
                <w:bCs/>
                <w:sz w:val="18"/>
                <w:szCs w:val="18"/>
              </w:rPr>
              <w:t>（5）销售对象</w:t>
            </w:r>
          </w:p>
          <w:p w14:paraId="38E66BF0">
            <w:pPr>
              <w:spacing w:line="360" w:lineRule="auto"/>
              <w:rPr>
                <w:rFonts w:ascii="宋体" w:hAnsi="宋体"/>
                <w:bCs/>
                <w:sz w:val="18"/>
                <w:szCs w:val="18"/>
              </w:rPr>
            </w:pPr>
            <w:r>
              <w:rPr>
                <w:rFonts w:hint="eastAsia" w:ascii="宋体" w:hAnsi="宋体"/>
                <w:bCs/>
                <w:sz w:val="18"/>
                <w:szCs w:val="18"/>
              </w:rPr>
              <w:t>（6）销售起点金额（认购、申购的起点金额）</w:t>
            </w:r>
          </w:p>
          <w:p w14:paraId="6BB055CD">
            <w:pPr>
              <w:spacing w:line="360" w:lineRule="auto"/>
              <w:rPr>
                <w:rFonts w:ascii="宋体" w:hAnsi="宋体"/>
                <w:bCs/>
                <w:sz w:val="18"/>
                <w:szCs w:val="18"/>
              </w:rPr>
            </w:pPr>
            <w:r>
              <w:rPr>
                <w:rFonts w:hint="eastAsia" w:ascii="宋体" w:hAnsi="宋体"/>
                <w:bCs/>
                <w:sz w:val="18"/>
                <w:szCs w:val="18"/>
              </w:rPr>
              <w:t>（7）投资者认购、申购和赎回的数量限制</w:t>
            </w:r>
          </w:p>
          <w:p w14:paraId="60849158">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4FDA7C32">
            <w:pPr>
              <w:spacing w:line="360" w:lineRule="auto"/>
              <w:rPr>
                <w:rFonts w:ascii="宋体" w:hAnsi="宋体"/>
                <w:bCs/>
                <w:sz w:val="18"/>
                <w:szCs w:val="18"/>
              </w:rPr>
            </w:pPr>
            <w:r>
              <w:rPr>
                <w:rFonts w:hint="eastAsia" w:ascii="宋体" w:hAnsi="宋体"/>
                <w:bCs/>
                <w:sz w:val="18"/>
                <w:szCs w:val="18"/>
              </w:rPr>
              <w:t>（9）分别计算和公告产品份额净值</w:t>
            </w:r>
          </w:p>
          <w:p w14:paraId="49EA6D32">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70E658BF">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14:paraId="7F73A74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E24456D">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3BEAC951">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3C2DC2A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8E79552">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1157CEB8">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0C34E2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0E5911A">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00C4B47A">
            <w:pPr>
              <w:spacing w:line="360" w:lineRule="auto"/>
              <w:rPr>
                <w:rFonts w:ascii="宋体" w:hAnsi="宋体"/>
                <w:bCs/>
                <w:sz w:val="18"/>
                <w:szCs w:val="18"/>
              </w:rPr>
            </w:pPr>
            <w:r>
              <w:rPr>
                <w:rFonts w:hint="eastAsia" w:ascii="宋体" w:hAnsi="宋体"/>
                <w:bCs/>
                <w:sz w:val="18"/>
                <w:szCs w:val="18"/>
              </w:rPr>
              <w:t>开放式</w:t>
            </w:r>
          </w:p>
        </w:tc>
      </w:tr>
      <w:tr w14:paraId="210263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CB4A20D">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16E1F287">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001E640E">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6224D43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DCE3681">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5E1ECB88">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0E160449">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5128A541">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32917EA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A700D16">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750C161C">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3583535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AB19868">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14F1DBEE">
            <w:pPr>
              <w:spacing w:line="360" w:lineRule="auto"/>
              <w:rPr>
                <w:rFonts w:hint="eastAsia" w:ascii="黑体" w:hAnsi="黑体" w:eastAsia="黑体" w:cs="黑体"/>
                <w:bCs/>
                <w:sz w:val="18"/>
                <w:szCs w:val="18"/>
              </w:rPr>
            </w:pPr>
            <w:r>
              <w:rPr>
                <w:rFonts w:hint="eastAsia" w:ascii="黑体" w:hAnsi="黑体" w:eastAsia="黑体" w:cs="黑体"/>
                <w:bCs/>
                <w:sz w:val="18"/>
                <w:szCs w:val="18"/>
              </w:rPr>
              <w:t>本产品属于【■ R1、□ R2、□ R3、□ R4、□ R5】理财产品。</w:t>
            </w:r>
          </w:p>
          <w:p w14:paraId="46DA968A">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4DE0F6D4">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14:paraId="03871A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C3A6728">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04183876">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05DA3FB5">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6B6719EC">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16901B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30F2B9E">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3816A356">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2F69C9DE">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14:paraId="3BB150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4FF88A1">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773D5D1A">
            <w:pPr>
              <w:spacing w:line="360" w:lineRule="auto"/>
              <w:jc w:val="left"/>
              <w:rPr>
                <w:rFonts w:ascii="宋体" w:hAnsi="宋体"/>
                <w:sz w:val="18"/>
                <w:szCs w:val="18"/>
              </w:rPr>
            </w:pPr>
            <w:r>
              <w:rPr>
                <w:rFonts w:hint="eastAsia" w:ascii="宋体" w:hAnsi="宋体"/>
                <w:sz w:val="18"/>
                <w:szCs w:val="18"/>
              </w:rPr>
              <w:t>□ 直销适用</w:t>
            </w:r>
          </w:p>
          <w:p w14:paraId="43DC9347">
            <w:pPr>
              <w:spacing w:line="360" w:lineRule="auto"/>
              <w:jc w:val="left"/>
              <w:rPr>
                <w:rFonts w:ascii="宋体" w:hAnsi="宋体"/>
                <w:sz w:val="18"/>
                <w:szCs w:val="18"/>
              </w:rPr>
            </w:pPr>
            <w:r>
              <w:rPr>
                <w:rFonts w:hint="eastAsia" w:ascii="宋体" w:hAnsi="宋体"/>
                <w:sz w:val="18"/>
                <w:szCs w:val="18"/>
              </w:rPr>
              <w:t>本产品由产品管理人销售。</w:t>
            </w:r>
          </w:p>
          <w:p w14:paraId="779ECD71">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536195A0">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74E6F5E5">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26AAF9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02B5C8F">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7719D2BB">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14:paraId="362821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91B7694">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23E8405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3D8035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9D928CF">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1D5CF8A6">
            <w:pPr>
              <w:spacing w:line="360" w:lineRule="auto"/>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1.本产品计划初始募集规模为【</w:t>
            </w:r>
            <w:r>
              <w:rPr>
                <w:rFonts w:hint="eastAsia" w:asciiTheme="majorEastAsia" w:hAnsiTheme="majorEastAsia" w:eastAsiaTheme="majorEastAsia"/>
                <w:bCs/>
                <w:sz w:val="18"/>
                <w:szCs w:val="18"/>
                <w:lang w:val="en-US" w:eastAsia="zh-CN"/>
              </w:rPr>
              <w:t>0.8</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025320C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2.产品管理人有权根据实际需要对产品规模进行调整，产品最终规模以产品管理人实际募集/管理的金额为准。</w:t>
            </w:r>
          </w:p>
        </w:tc>
      </w:tr>
      <w:tr w14:paraId="43B420A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8FEEB81">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003E76F9">
            <w:pPr>
              <w:spacing w:line="360" w:lineRule="auto"/>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14:paraId="49ECB3CC">
            <w:pPr>
              <w:spacing w:line="360" w:lineRule="auto"/>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■无固定期限</w:t>
            </w:r>
          </w:p>
          <w:p w14:paraId="40F601BA">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2C01BE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2061FAC">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60DC467A">
            <w:pPr>
              <w:spacing w:line="360" w:lineRule="auto"/>
              <w:rPr>
                <w:rFonts w:hint="eastAsia" w:asciiTheme="minorEastAsia" w:hAnsiTheme="minorEastAsia"/>
                <w:bCs/>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：【2026年01月12日】【09:00】至【2026年01月13日】【17:00】</w:t>
            </w:r>
          </w:p>
          <w:p w14:paraId="1AB6B13D">
            <w:pPr>
              <w:spacing w:line="360" w:lineRule="auto"/>
              <w:rPr>
                <w:rFonts w:asciiTheme="minorEastAsia" w:hAnsiTheme="minorEastAsia"/>
                <w:bCs/>
                <w:sz w:val="18"/>
                <w:szCs w:val="18"/>
              </w:rPr>
            </w:pPr>
            <w:r>
              <w:rPr>
                <w:rFonts w:asciiTheme="minorEastAsia" w:hAnsiTheme="minorEastAsia"/>
                <w:bCs/>
                <w:sz w:val="18"/>
                <w:szCs w:val="18"/>
              </w:rPr>
              <w:t>2.</w:t>
            </w:r>
            <w:r>
              <w:rPr>
                <w:rFonts w:hint="eastAsia" w:asciiTheme="minorEastAsia" w:hAnsiTheme="minorEastAsia"/>
                <w:bCs/>
                <w:sz w:val="18"/>
                <w:szCs w:val="18"/>
              </w:rPr>
              <w:t>投资者在认购期</w:t>
            </w:r>
            <w:r>
              <w:rPr>
                <w:rFonts w:asciiTheme="minorEastAsia" w:hAnsiTheme="minorEastAsia"/>
                <w:bCs/>
                <w:sz w:val="18"/>
                <w:szCs w:val="18"/>
              </w:rPr>
              <w:t>/募集</w:t>
            </w:r>
            <w:r>
              <w:rPr>
                <w:rFonts w:hint="eastAsia" w:asciiTheme="minorEastAsia" w:hAnsiTheme="minorEastAsia"/>
                <w:bCs/>
                <w:sz w:val="18"/>
                <w:szCs w:val="18"/>
              </w:rPr>
              <w:t>期内认购本理财产品后，理财资金将在成立日开始进行投资。</w:t>
            </w:r>
          </w:p>
          <w:p w14:paraId="2C7D6186">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tc>
      </w:tr>
      <w:tr w14:paraId="3C41BA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E2FA192">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0E12D7F6">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366ADB1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7006F61">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21FF9A75">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2026年01月14日（遇节假日顺延）</w:t>
            </w:r>
            <w:r>
              <w:rPr>
                <w:rFonts w:hint="eastAsia" w:asciiTheme="minorEastAsia" w:hAnsiTheme="minorEastAsia"/>
                <w:bCs/>
                <w:sz w:val="18"/>
                <w:szCs w:val="18"/>
              </w:rPr>
              <w:t>。</w:t>
            </w:r>
          </w:p>
          <w:p w14:paraId="35839D2D">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670BC4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9E9639A">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2E4A4F0A">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14:paraId="409DAB3E">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7C81AE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056E7973">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vAlign w:val="top"/>
          </w:tcPr>
          <w:p w14:paraId="0339AE6D">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ascii="宋体" w:hAnsi="宋体"/>
                <w:bCs/>
                <w:sz w:val="18"/>
                <w:szCs w:val="18"/>
                <w:lang w:eastAsia="zh-CN"/>
              </w:rPr>
              <w:t>【</w:t>
            </w:r>
            <w:r>
              <w:rPr>
                <w:rFonts w:hint="eastAsia" w:cs="Times New Roman" w:asciiTheme="minorEastAsia" w:hAnsiTheme="minorEastAsia"/>
                <w:sz w:val="18"/>
                <w:szCs w:val="18"/>
              </w:rPr>
              <w:t>2026年01月14日</w:t>
            </w:r>
            <w:r>
              <w:rPr>
                <w:rFonts w:hint="eastAsia" w:cs="Times New Roman" w:asciiTheme="minorEastAsia" w:hAnsiTheme="minorEastAsia"/>
                <w:sz w:val="18"/>
                <w:szCs w:val="18"/>
                <w:lang w:eastAsia="zh-CN"/>
              </w:rPr>
              <w:t>】</w:t>
            </w:r>
            <w:r>
              <w:rPr>
                <w:rFonts w:hint="eastAsia" w:cs="Times New Roman" w:asciiTheme="minorEastAsia" w:hAnsiTheme="minorEastAsia"/>
                <w:sz w:val="18"/>
                <w:szCs w:val="18"/>
              </w:rPr>
              <w:t>至</w:t>
            </w:r>
            <w:r>
              <w:rPr>
                <w:rFonts w:hint="eastAsia" w:cs="Times New Roman" w:asciiTheme="minorEastAsia" w:hAnsiTheme="minorEastAsia"/>
                <w:sz w:val="18"/>
                <w:szCs w:val="18"/>
                <w:lang w:eastAsia="zh-CN"/>
              </w:rPr>
              <w:t>【</w:t>
            </w:r>
            <w:r>
              <w:rPr>
                <w:rFonts w:hint="eastAsia" w:cs="Times New Roman" w:asciiTheme="minorEastAsia" w:hAnsiTheme="minorEastAsia"/>
                <w:sz w:val="18"/>
                <w:szCs w:val="18"/>
              </w:rPr>
              <w:t>2026年01月27日</w:t>
            </w:r>
            <w:r>
              <w:rPr>
                <w:rFonts w:hint="eastAsia" w:cs="Times New Roman" w:asciiTheme="minorEastAsia" w:hAnsiTheme="minorEastAsia"/>
                <w:sz w:val="18"/>
                <w:szCs w:val="18"/>
                <w:lang w:eastAsia="zh-CN"/>
              </w:rPr>
              <w:t>】</w:t>
            </w:r>
            <w:r>
              <w:rPr>
                <w:rFonts w:hint="eastAsia" w:asciiTheme="majorEastAsia" w:hAnsiTheme="majorEastAsia" w:eastAsiaTheme="majorEastAsia"/>
                <w:sz w:val="18"/>
                <w:szCs w:val="18"/>
              </w:rPr>
              <w:t>。</w:t>
            </w:r>
          </w:p>
          <w:p w14:paraId="2605791D">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35CA92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8D036B8">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67F5A6C3">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14:paraId="1C96AE19">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w:t>
            </w:r>
            <w:r>
              <w:rPr>
                <w:rFonts w:hint="eastAsia" w:asciiTheme="minorEastAsia" w:hAnsiTheme="minorEastAsia"/>
                <w:sz w:val="18"/>
                <w:szCs w:val="18"/>
                <w:lang w:val="en-US" w:eastAsia="zh-CN"/>
              </w:rPr>
              <w:t>工作日</w:t>
            </w:r>
            <w:r>
              <w:rPr>
                <w:rFonts w:hint="eastAsia" w:asciiTheme="minorEastAsia" w:hAnsiTheme="minorEastAsia"/>
                <w:sz w:val="18"/>
                <w:szCs w:val="18"/>
              </w:rPr>
              <w:t>】为开放日，开放日开放申购与赎回；</w:t>
            </w:r>
          </w:p>
          <w:p w14:paraId="7D8B4602">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14:paraId="2D4B4005">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50E795DA">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14:paraId="69F3E31A">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14:paraId="68F8467C">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1A1AB8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3A790ED2">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14:paraId="32C5C63D">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14:paraId="6E3D545A">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14:paraId="25ACEBEC">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14:paraId="705D481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76621A0F">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vAlign w:val="center"/>
                </w:tcPr>
                <w:p w14:paraId="2F8C43C8">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14:paraId="4B026C2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14:paraId="5A32C94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14:paraId="70FDFA5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0" w:hRule="atLeast"/>
              </w:trPr>
              <w:tc>
                <w:tcPr>
                  <w:tcW w:w="1837" w:type="dxa"/>
                  <w:vAlign w:val="center"/>
                </w:tcPr>
                <w:p w14:paraId="40C6D0EF">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 xml:space="preserve">-【24：00】 </w:t>
                  </w:r>
                </w:p>
              </w:tc>
              <w:tc>
                <w:tcPr>
                  <w:tcW w:w="1701" w:type="dxa"/>
                  <w:vAlign w:val="center"/>
                </w:tcPr>
                <w:p w14:paraId="5FB2049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14:paraId="0549D764">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14:paraId="1D48D221">
                  <w:pPr>
                    <w:spacing w:line="360" w:lineRule="auto"/>
                    <w:jc w:val="left"/>
                    <w:rPr>
                      <w:rFonts w:asciiTheme="majorEastAsia" w:hAnsiTheme="majorEastAsia" w:eastAsiaTheme="majorEastAsia"/>
                      <w:bCs/>
                      <w:sz w:val="18"/>
                      <w:szCs w:val="18"/>
                    </w:rPr>
                  </w:pPr>
                </w:p>
              </w:tc>
            </w:tr>
            <w:tr w14:paraId="09C76E3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520" w:hRule="atLeast"/>
              </w:trPr>
              <w:tc>
                <w:tcPr>
                  <w:tcW w:w="1837" w:type="dxa"/>
                  <w:vAlign w:val="center"/>
                </w:tcPr>
                <w:p w14:paraId="0FD5B0E8">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14:paraId="77D967D6">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14:paraId="7BAF6DDC">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14:paraId="3E2823FC">
                  <w:pPr>
                    <w:spacing w:line="360" w:lineRule="auto"/>
                    <w:jc w:val="left"/>
                    <w:rPr>
                      <w:rFonts w:asciiTheme="majorEastAsia" w:hAnsiTheme="majorEastAsia" w:eastAsiaTheme="majorEastAsia"/>
                      <w:bCs/>
                      <w:sz w:val="18"/>
                      <w:szCs w:val="18"/>
                    </w:rPr>
                  </w:pPr>
                </w:p>
              </w:tc>
            </w:tr>
          </w:tbl>
          <w:p w14:paraId="1E600DF7">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14:paraId="4C1A5A38">
            <w:pPr>
              <w:spacing w:line="360" w:lineRule="auto"/>
              <w:rPr>
                <w:rFonts w:asciiTheme="minorEastAsia" w:hAnsiTheme="minorEastAsia"/>
                <w:sz w:val="18"/>
                <w:szCs w:val="18"/>
              </w:rPr>
            </w:pPr>
            <w:r>
              <w:rPr>
                <w:rFonts w:hint="eastAsia" w:asciiTheme="minorEastAsia" w:hAnsiTheme="minorEastAsia"/>
                <w:sz w:val="18"/>
                <w:szCs w:val="18"/>
              </w:rPr>
              <w:t>（1）赎回的时间</w:t>
            </w:r>
          </w:p>
          <w:p w14:paraId="181E4728">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14:paraId="43AA312A">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727DA08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2491568C">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14:paraId="4B4B761A">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14:paraId="11CA347A">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14:paraId="36510039">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14:paraId="14F3881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184CD154">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14:paraId="77B0D5AE">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14:paraId="0C17C4F9">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14:paraId="52260EF9">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14:paraId="1D8B6E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77491266">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14:paraId="2746B15C">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14:paraId="5032BE6E">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14:paraId="475FC1EE">
                  <w:pPr>
                    <w:spacing w:line="360" w:lineRule="auto"/>
                    <w:rPr>
                      <w:rFonts w:cs="Times New Roman" w:asciiTheme="minorEastAsia" w:hAnsiTheme="minorEastAsia" w:eastAsiaTheme="minorEastAsia"/>
                      <w:bCs/>
                      <w:kern w:val="0"/>
                      <w:sz w:val="18"/>
                      <w:szCs w:val="18"/>
                    </w:rPr>
                  </w:pPr>
                </w:p>
              </w:tc>
            </w:tr>
            <w:tr w14:paraId="3571DBD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5C09C69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14:paraId="31CABD4F">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14:paraId="08094012">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14:paraId="308D6557">
                  <w:pPr>
                    <w:spacing w:line="360" w:lineRule="auto"/>
                    <w:rPr>
                      <w:rFonts w:cs="Times New Roman" w:asciiTheme="minorEastAsia" w:hAnsiTheme="minorEastAsia" w:eastAsiaTheme="minorEastAsia"/>
                      <w:bCs/>
                      <w:kern w:val="0"/>
                      <w:sz w:val="18"/>
                      <w:szCs w:val="18"/>
                    </w:rPr>
                  </w:pPr>
                </w:p>
              </w:tc>
            </w:tr>
          </w:tbl>
          <w:p w14:paraId="246673DD">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1</w:t>
            </w:r>
            <w:r>
              <w:rPr>
                <w:rFonts w:hint="eastAsia" w:ascii="黑体" w:hAnsi="黑体" w:eastAsia="黑体" w:cs="黑体"/>
                <w:kern w:val="0"/>
                <w:sz w:val="18"/>
              </w:rPr>
              <w:t>】个开放日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14:paraId="6FD0F4D5">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14:paraId="2EB9CEE6">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14:paraId="75AF745C">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14:paraId="3F0FB697">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14:paraId="133957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DA6282C">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6D4CAFFC">
            <w:pPr>
              <w:spacing w:line="360" w:lineRule="auto"/>
              <w:jc w:val="left"/>
              <w:rPr>
                <w:rFonts w:hint="eastAsia" w:asciiTheme="majorEastAsia" w:hAnsiTheme="majorEastAsia" w:eastAsiaTheme="majorEastAsia"/>
                <w:sz w:val="18"/>
                <w:szCs w:val="18"/>
                <w:lang w:eastAsia="zh-CN"/>
              </w:rPr>
            </w:pPr>
            <w:r>
              <w:rPr>
                <w:rFonts w:hint="eastAsia" w:asciiTheme="majorEastAsia" w:hAnsiTheme="majorEastAsia" w:eastAsiaTheme="majorEastAsia"/>
                <w:sz w:val="18"/>
                <w:szCs w:val="18"/>
              </w:rPr>
              <w:t>每笔购买起点金额为【1】元; 超出起点金额的部分以【0.01】元的整数倍递增。（适用【D】类份额)
</w:t>
            </w:r>
          </w:p>
          <w:p w14:paraId="242B3227">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14:paraId="5A64A246">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14:paraId="65BBFB0E">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14:paraId="33ADA2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90B9086">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0C56E484">
            <w:pPr>
              <w:pStyle w:val="34"/>
              <w:spacing w:line="360" w:lineRule="auto"/>
              <w:rPr>
                <w:rFonts w:hint="eastAsia" w:hAnsi="宋体"/>
                <w:bCs/>
                <w:sz w:val="18"/>
                <w:szCs w:val="18"/>
              </w:rPr>
            </w:pPr>
            <w:r>
              <w:rPr>
                <w:rFonts w:hint="eastAsia" w:hAnsi="宋体"/>
                <w:bCs/>
                <w:sz w:val="18"/>
                <w:szCs w:val="18"/>
              </w:rPr>
              <w:t>（适用【</w:t>
            </w:r>
            <w:r>
              <w:rPr>
                <w:rFonts w:hint="eastAsia" w:hAnsi="宋体"/>
                <w:bCs/>
                <w:sz w:val="18"/>
                <w:szCs w:val="18"/>
                <w:lang w:val="en-US" w:eastAsia="zh-CN"/>
              </w:rPr>
              <w:t>/</w:t>
            </w:r>
            <w:r>
              <w:rPr>
                <w:rFonts w:hint="eastAsia" w:hAnsi="宋体"/>
                <w:bCs/>
                <w:sz w:val="18"/>
                <w:szCs w:val="18"/>
              </w:rPr>
              <w:t>】类份额）</w:t>
            </w:r>
          </w:p>
          <w:p w14:paraId="329E3C4D">
            <w:pPr>
              <w:pStyle w:val="34"/>
              <w:spacing w:line="360" w:lineRule="auto"/>
              <w:rPr>
                <w:rFonts w:hint="eastAsia" w:hAnsi="宋体"/>
                <w:bCs/>
                <w:sz w:val="18"/>
                <w:szCs w:val="18"/>
              </w:rPr>
            </w:pPr>
            <w:r>
              <w:rPr>
                <w:rFonts w:hint="eastAsia" w:hAnsi="宋体"/>
                <w:bCs/>
                <w:sz w:val="18"/>
                <w:szCs w:val="18"/>
              </w:rPr>
              <w:t>1.认购的数量限制</w:t>
            </w:r>
          </w:p>
          <w:p w14:paraId="320D56FB">
            <w:pPr>
              <w:pStyle w:val="34"/>
              <w:spacing w:line="360" w:lineRule="auto"/>
              <w:rPr>
                <w:rFonts w:hint="eastAsia" w:hAnsi="宋体"/>
                <w:bCs/>
                <w:sz w:val="18"/>
                <w:szCs w:val="18"/>
              </w:rPr>
            </w:pPr>
            <w:r>
              <w:rPr>
                <w:rFonts w:hint="eastAsia" w:hAnsi="宋体"/>
                <w:bCs/>
                <w:sz w:val="18"/>
                <w:szCs w:val="18"/>
              </w:rPr>
              <w:t>单一投资者认购上限为【</w:t>
            </w:r>
            <w:r>
              <w:rPr>
                <w:rFonts w:hint="eastAsia" w:hAnsi="宋体"/>
                <w:bCs/>
                <w:sz w:val="18"/>
                <w:szCs w:val="18"/>
                <w:lang w:val="en-US" w:eastAsia="zh-CN"/>
              </w:rPr>
              <w:t>/</w:t>
            </w:r>
            <w:r>
              <w:rPr>
                <w:rFonts w:hint="eastAsia" w:hAnsi="宋体"/>
                <w:bCs/>
                <w:sz w:val="18"/>
                <w:szCs w:val="18"/>
              </w:rPr>
              <w:t>】</w:t>
            </w:r>
            <w:r>
              <w:rPr>
                <w:rFonts w:hint="eastAsia" w:hAnsi="宋体"/>
                <w:bCs/>
                <w:sz w:val="18"/>
                <w:szCs w:val="18"/>
                <w:lang w:val="en-US" w:eastAsia="zh-CN"/>
              </w:rPr>
              <w:t>元</w:t>
            </w:r>
            <w:r>
              <w:rPr>
                <w:rFonts w:hint="eastAsia" w:hAnsi="宋体"/>
                <w:bCs/>
                <w:sz w:val="18"/>
                <w:szCs w:val="18"/>
              </w:rPr>
              <w:t>。如需突破上限，请与产品管理人或销售机构客户经理联系。</w:t>
            </w:r>
          </w:p>
          <w:p w14:paraId="45E76DF0">
            <w:pPr>
              <w:pStyle w:val="34"/>
              <w:spacing w:line="360" w:lineRule="auto"/>
              <w:rPr>
                <w:rFonts w:hint="eastAsia" w:hAnsi="宋体"/>
                <w:bCs/>
                <w:sz w:val="18"/>
                <w:szCs w:val="18"/>
              </w:rPr>
            </w:pPr>
            <w:r>
              <w:rPr>
                <w:rFonts w:hint="eastAsia" w:hAnsi="宋体"/>
                <w:bCs/>
                <w:sz w:val="18"/>
                <w:szCs w:val="18"/>
              </w:rPr>
              <w:t>2.申购的数量限制</w:t>
            </w:r>
          </w:p>
          <w:p w14:paraId="32DDD7DC">
            <w:pPr>
              <w:pStyle w:val="34"/>
              <w:spacing w:line="360" w:lineRule="auto"/>
              <w:rPr>
                <w:rFonts w:hint="eastAsia" w:hAnsi="宋体"/>
                <w:bCs/>
                <w:sz w:val="18"/>
                <w:szCs w:val="18"/>
              </w:rPr>
            </w:pPr>
            <w:r>
              <w:rPr>
                <w:rFonts w:hint="eastAsia" w:hAnsi="宋体"/>
                <w:bCs/>
                <w:sz w:val="18"/>
                <w:szCs w:val="18"/>
              </w:rPr>
              <w:t>（1）单一投资者申购上限为【</w:t>
            </w:r>
            <w:r>
              <w:rPr>
                <w:rFonts w:hint="eastAsia" w:hAnsi="宋体"/>
                <w:bCs/>
                <w:sz w:val="18"/>
                <w:szCs w:val="18"/>
                <w:lang w:val="en-US" w:eastAsia="zh-CN"/>
              </w:rPr>
              <w:t>/</w:t>
            </w:r>
            <w:r>
              <w:rPr>
                <w:rFonts w:hint="eastAsia" w:hAnsi="宋体"/>
                <w:bCs/>
                <w:sz w:val="18"/>
                <w:szCs w:val="18"/>
              </w:rPr>
              <w:t>】</w:t>
            </w:r>
            <w:r>
              <w:rPr>
                <w:rFonts w:hint="eastAsia" w:hAnsi="宋体"/>
                <w:bCs/>
                <w:sz w:val="18"/>
                <w:szCs w:val="18"/>
                <w:lang w:val="en-US" w:eastAsia="zh-CN"/>
              </w:rPr>
              <w:t>元</w:t>
            </w:r>
            <w:bookmarkStart w:id="206" w:name="_GoBack"/>
            <w:bookmarkEnd w:id="206"/>
            <w:r>
              <w:rPr>
                <w:rFonts w:hint="eastAsia" w:hAnsi="宋体"/>
                <w:bCs/>
                <w:sz w:val="18"/>
                <w:szCs w:val="18"/>
              </w:rPr>
              <w:t>。</w:t>
            </w:r>
          </w:p>
          <w:p w14:paraId="4AFB69AC">
            <w:pPr>
              <w:pStyle w:val="34"/>
              <w:spacing w:line="360" w:lineRule="auto"/>
              <w:rPr>
                <w:rFonts w:hint="eastAsia" w:hAnsi="宋体"/>
                <w:bCs/>
                <w:sz w:val="18"/>
                <w:szCs w:val="18"/>
              </w:rPr>
            </w:pPr>
            <w:r>
              <w:rPr>
                <w:rFonts w:hint="eastAsia" w:hAnsi="宋体"/>
                <w:bCs/>
                <w:sz w:val="18"/>
                <w:szCs w:val="18"/>
              </w:rPr>
              <w:t>（2）产品存续期间，单一投资者最高持有份额上限为【</w:t>
            </w:r>
            <w:r>
              <w:rPr>
                <w:rFonts w:hint="eastAsia" w:hAnsi="宋体"/>
                <w:bCs/>
                <w:sz w:val="18"/>
                <w:szCs w:val="18"/>
                <w:lang w:val="en-US" w:eastAsia="zh-CN"/>
              </w:rPr>
              <w:t>/</w:t>
            </w:r>
            <w:r>
              <w:rPr>
                <w:rFonts w:hint="eastAsia" w:hAnsi="宋体"/>
                <w:bCs/>
                <w:sz w:val="18"/>
                <w:szCs w:val="18"/>
              </w:rPr>
              <w:t>】</w:t>
            </w:r>
            <w:r>
              <w:rPr>
                <w:rFonts w:hint="eastAsia" w:hAnsi="宋体"/>
                <w:bCs/>
                <w:sz w:val="18"/>
                <w:szCs w:val="18"/>
                <w:lang w:val="en-US" w:eastAsia="zh-CN"/>
              </w:rPr>
              <w:t>份</w:t>
            </w:r>
            <w:r>
              <w:rPr>
                <w:rFonts w:hint="eastAsia" w:hAnsi="宋体"/>
                <w:bCs/>
                <w:sz w:val="18"/>
                <w:szCs w:val="18"/>
              </w:rPr>
              <w:t>，符合产品管理人流动性管理的稳定资金除外。</w:t>
            </w:r>
          </w:p>
          <w:p w14:paraId="6B487C5E">
            <w:pPr>
              <w:pStyle w:val="34"/>
              <w:spacing w:line="360" w:lineRule="auto"/>
              <w:rPr>
                <w:rFonts w:hint="eastAsia" w:hAnsi="宋体"/>
                <w:bCs/>
                <w:sz w:val="18"/>
                <w:szCs w:val="18"/>
              </w:rPr>
            </w:pPr>
            <w:r>
              <w:rPr>
                <w:rFonts w:hint="eastAsia" w:hAnsi="宋体"/>
                <w:bCs/>
                <w:sz w:val="18"/>
                <w:szCs w:val="18"/>
              </w:rPr>
              <w:t xml:space="preserve">如需突破上限，请与产品管理人或销售机构客户经理联系。 </w:t>
            </w:r>
          </w:p>
          <w:p w14:paraId="4341AECE">
            <w:pPr>
              <w:pStyle w:val="34"/>
              <w:spacing w:line="360" w:lineRule="auto"/>
              <w:rPr>
                <w:rFonts w:hint="eastAsia" w:hAnsi="宋体"/>
                <w:bCs/>
                <w:sz w:val="18"/>
                <w:szCs w:val="18"/>
              </w:rPr>
            </w:pPr>
            <w:r>
              <w:rPr>
                <w:rFonts w:hint="eastAsia" w:hAnsi="宋体"/>
                <w:bCs/>
                <w:sz w:val="18"/>
                <w:szCs w:val="18"/>
              </w:rPr>
              <w:t>3.赎回的数量限制</w:t>
            </w:r>
          </w:p>
          <w:p w14:paraId="05E88946">
            <w:pPr>
              <w:pStyle w:val="34"/>
              <w:spacing w:line="360" w:lineRule="auto"/>
              <w:rPr>
                <w:rFonts w:hint="eastAsia" w:hAnsi="宋体"/>
                <w:bCs/>
                <w:sz w:val="18"/>
                <w:szCs w:val="18"/>
              </w:rPr>
            </w:pPr>
            <w:r>
              <w:rPr>
                <w:rFonts w:hint="eastAsia" w:hAnsi="宋体"/>
                <w:bCs/>
                <w:sz w:val="18"/>
                <w:szCs w:val="18"/>
              </w:rPr>
              <w:t>（1）单一投资者赎回上限为【</w:t>
            </w:r>
            <w:r>
              <w:rPr>
                <w:rFonts w:hint="eastAsia" w:hAnsi="宋体"/>
                <w:bCs/>
                <w:sz w:val="18"/>
                <w:szCs w:val="18"/>
                <w:lang w:val="en-US" w:eastAsia="zh-CN"/>
              </w:rPr>
              <w:t>/</w:t>
            </w:r>
            <w:r>
              <w:rPr>
                <w:rFonts w:hint="eastAsia" w:hAnsi="宋体"/>
                <w:bCs/>
                <w:sz w:val="18"/>
                <w:szCs w:val="18"/>
              </w:rPr>
              <w:t>】</w:t>
            </w:r>
            <w:r>
              <w:rPr>
                <w:rFonts w:hint="eastAsia" w:hAnsi="宋体"/>
                <w:bCs/>
                <w:sz w:val="18"/>
                <w:szCs w:val="18"/>
                <w:lang w:val="en-US" w:eastAsia="zh-CN"/>
              </w:rPr>
              <w:t>份</w:t>
            </w:r>
            <w:r>
              <w:rPr>
                <w:rFonts w:hint="eastAsia" w:hAnsi="宋体"/>
                <w:bCs/>
                <w:sz w:val="18"/>
                <w:szCs w:val="18"/>
              </w:rPr>
              <w:t>。</w:t>
            </w:r>
          </w:p>
          <w:p w14:paraId="55573690">
            <w:pPr>
              <w:pStyle w:val="34"/>
              <w:spacing w:line="360" w:lineRule="auto"/>
              <w:rPr>
                <w:rFonts w:hint="eastAsia" w:hAnsi="宋体"/>
                <w:bCs/>
                <w:sz w:val="18"/>
                <w:szCs w:val="18"/>
              </w:rPr>
            </w:pPr>
            <w:r>
              <w:rPr>
                <w:rFonts w:hint="eastAsia" w:hAnsi="宋体"/>
                <w:bCs/>
                <w:sz w:val="18"/>
                <w:szCs w:val="18"/>
              </w:rPr>
              <w:t>（2）投资者可全部或部分赎回其理财份额，但是部分赎回后单一投资者持有产品份额不得低于【</w:t>
            </w:r>
            <w:r>
              <w:rPr>
                <w:rFonts w:hint="eastAsia" w:hAnsi="宋体"/>
                <w:bCs/>
                <w:sz w:val="18"/>
                <w:szCs w:val="18"/>
                <w:lang w:val="en-US" w:eastAsia="zh-CN"/>
              </w:rPr>
              <w:t>0.01</w:t>
            </w:r>
            <w:r>
              <w:rPr>
                <w:rFonts w:hint="eastAsia" w:hAnsi="宋体"/>
                <w:bCs/>
                <w:sz w:val="18"/>
                <w:szCs w:val="18"/>
              </w:rPr>
              <w:t>】</w:t>
            </w:r>
            <w:r>
              <w:rPr>
                <w:rFonts w:hint="eastAsia" w:hAnsi="宋体"/>
                <w:bCs/>
                <w:sz w:val="18"/>
                <w:szCs w:val="18"/>
                <w:lang w:val="en-US" w:eastAsia="zh-CN"/>
              </w:rPr>
              <w:t>份</w:t>
            </w:r>
            <w:r>
              <w:rPr>
                <w:rFonts w:hint="eastAsia" w:hAnsi="宋体"/>
                <w:bCs/>
                <w:sz w:val="18"/>
                <w:szCs w:val="18"/>
              </w:rPr>
              <w:t>。受理财利益分配去尾规则的影响，投资者持有产品份额较低时可能无法取得利益。巨额赎回情景发生时，投资者的可赎回份额需要根据巨额赎回规则确定。</w:t>
            </w:r>
          </w:p>
          <w:p w14:paraId="2E57244E">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14:paraId="4F1C63E1">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5B147A7D">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377212F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6E4B595E">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2C3F691F">
            <w:pPr>
              <w:pStyle w:val="34"/>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14:paraId="58C7A4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E615EAD">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4837BD70">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697CFE6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ED5E546">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14EF97DD">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77CFF9DF">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14:paraId="66144A3F">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p w14:paraId="50F39FED">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lang w:val="en-US" w:eastAsia="zh-CN"/>
              </w:rPr>
              <w:t>4</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理财产品份额净值四舍五入保留5位小数。</w:t>
            </w:r>
          </w:p>
        </w:tc>
      </w:tr>
      <w:tr w14:paraId="60CE6D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74116E0A">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66D0E508">
            <w:pPr>
              <w:spacing w:line="360" w:lineRule="auto"/>
              <w:jc w:val="left"/>
              <w:rPr>
                <w:rFonts w:hint="eastAsia" w:hAnsi="宋体"/>
                <w:bCs/>
                <w:sz w:val="18"/>
                <w:szCs w:val="18"/>
              </w:rPr>
            </w:pPr>
            <w:r>
              <w:rPr>
                <w:rFonts w:ascii="宋体" w:hAnsi="宋体" w:cs="宋体" w:eastAsia="宋体"/>
                <w:sz w:val="18"/>
              </w:rPr>
              <w:t>1.业绩比较基准的设置</w:t>
              <w:br/>
            </w:r>
            <w:r>
              <w:rPr>
                <w:rFonts w:ascii="宋体" w:hAnsi="宋体" w:cs="宋体" w:eastAsia="宋体"/>
                <w:sz w:val="18"/>
              </w:rPr>
              <w:t>■ 产品管理人设置业绩比较基准。</w:t>
              <w:br/>
            </w:r>
            <w:r>
              <w:rPr>
                <w:rFonts w:ascii="宋体" w:hAnsi="宋体" w:cs="宋体" w:eastAsia="宋体"/>
                <w:sz w:val="18"/>
              </w:rPr>
              <w:t>（1）业绩比较基准的说明：【基于当前对未来市场的判断，根据拟投资债权类资产的信用利差、久期敞口以及流动性溢价，预判组合的波动幅度】。</w:t>
              <w:br/>
            </w:r>
            <w:r>
              <w:rPr>
                <w:rFonts w:ascii="宋体" w:hAnsi="宋体" w:cs="宋体" w:eastAsia="宋体"/>
                <w:sz w:val="18"/>
              </w:rPr>
              <w:t>（2）业绩比较基准的设定：管理人对本产品设定业绩比较基准：【人民银行7天通知存款利率】。（适用【D】类份额)</w:t>
              <w:br/>
            </w:r>
            <w:r>
              <w:rPr>
                <w:rFonts w:ascii="宋体" w:hAnsi="宋体" w:cs="宋体" w:eastAsia="宋体"/>
                <w:sz w:val="18"/>
              </w:rPr>
              <w:t>□ 产品管理人不设置业绩比较基准。</w:t>
            </w:r>
          </w:p>
          <w:p w14:paraId="40CF93C7">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7F229B47">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36A0A5C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按照本产品说明书“理财产品的信息披露”条款约定及时公告</w:t>
            </w:r>
            <w:r>
              <w:rPr>
                <w:rFonts w:hint="eastAsia" w:asciiTheme="majorEastAsia" w:hAnsiTheme="majorEastAsia" w:eastAsiaTheme="majorEastAsia"/>
                <w:bCs/>
                <w:sz w:val="18"/>
                <w:szCs w:val="18"/>
              </w:rPr>
              <w:t>。</w:t>
            </w:r>
          </w:p>
        </w:tc>
      </w:tr>
      <w:tr w14:paraId="4261BC6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714AD4B7">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298E7028">
            <w:pPr>
              <w:spacing w:line="360" w:lineRule="auto"/>
              <w:jc w:val="left"/>
              <w:rPr>
                <w:rFonts w:hint="eastAsia" w:ascii="宋体" w:hAnsi="宋体"/>
                <w:bCs/>
                <w:sz w:val="18"/>
                <w:szCs w:val="18"/>
              </w:rPr>
            </w:pPr>
            <w:r>
              <w:rPr>
                <w:rFonts w:ascii="宋体" w:hAnsi="宋体" w:cs="宋体" w:eastAsia="宋体"/>
                <w:sz w:val="18"/>
              </w:rPr>
              <w:t>1.业绩报酬计提基准的设置</w:t>
              <w:br/>
            </w:r>
            <w:r>
              <w:rPr>
                <w:rFonts w:ascii="宋体" w:hAnsi="宋体" w:cs="宋体" w:eastAsia="宋体"/>
                <w:sz w:val="18"/>
              </w:rPr>
              <w:t>□ 产品管理人设置业绩报酬计提基准。</w:t>
              <w:br/>
            </w:r>
            <w:r>
              <w:rPr>
                <w:rFonts w:ascii="宋体" w:hAnsi="宋体" w:cs="宋体" w:eastAsia="宋体"/>
                <w:sz w:val="18"/>
              </w:rPr>
              <w:t>业绩报酬计提基准的设定：管理人对本产品设定业绩报酬计提基准：年化【】。（适用【D】类份额)</w:t>
              <w:br/>
            </w:r>
            <w:r>
              <w:rPr>
                <w:rFonts w:ascii="宋体" w:hAnsi="宋体" w:cs="宋体" w:eastAsia="宋体"/>
                <w:sz w:val="18"/>
              </w:rPr>
              <w:t>■ 产品管理人不设置业绩报酬计提基准。</w:t>
            </w:r>
          </w:p>
          <w:p w14:paraId="02F6FAA1">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614B9917">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7760E4D2">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14:paraId="78E0A12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445F73B7">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09E3CBC0">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5FF39276">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51A25A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09" w:hRule="atLeast"/>
          <w:jc w:val="center"/>
        </w:trPr>
        <w:tc>
          <w:tcPr>
            <w:tcW w:w="1945" w:type="dxa"/>
            <w:shd w:val="solid" w:color="FFFFFF" w:fill="FFFFFF"/>
            <w:vAlign w:val="center"/>
          </w:tcPr>
          <w:p w14:paraId="26D057AF">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5FC163CE">
            <w:pPr>
              <w:numPr>
                <w:ilvl w:val="0"/>
                <w:numId w:val="0"/>
              </w:numPr>
              <w:autoSpaceDE w:val="0"/>
              <w:autoSpaceDN w:val="0"/>
              <w:adjustRightInd w:val="0"/>
              <w:spacing w:line="360" w:lineRule="auto"/>
              <w:jc w:val="left"/>
              <w:rPr>
                <w:rFonts w:hint="eastAsia" w:cs="黑体" w:asciiTheme="minorEastAsia" w:hAnsiTheme="minorEastAsia" w:eastAsiaTheme="minorEastAsia"/>
                <w:bCs/>
                <w:sz w:val="18"/>
                <w:szCs w:val="18"/>
              </w:rPr>
            </w:pPr>
            <w:r>
              <w:rPr>
                <w:rFonts w:ascii="黑体" w:hAnsi="黑体" w:cs="黑体" w:eastAsia="黑体"/>
                <w:sz w:val="18"/>
              </w:rPr>
              <w:t>1.理财产品的费率标准</w:t>
              <w:br/>
            </w:r>
            <w:r>
              <w:rPr>
                <w:rFonts w:ascii="黑体" w:hAnsi="黑体" w:cs="黑体" w:eastAsia="黑体"/>
                <w:sz w:val="18"/>
              </w:rPr>
              <w:t>（1）认购费：【/】。（适用【D】类份额）</w:t>
              <w:br/>
            </w:r>
            <w:r>
              <w:rPr>
                <w:rFonts w:ascii="黑体" w:hAnsi="黑体" w:cs="黑体" w:eastAsia="黑体"/>
                <w:sz w:val="18"/>
              </w:rPr>
              <w:t>（2）申购费：【/】。（适用【D】类份额）</w:t>
              <w:br/>
            </w:r>
            <w:r>
              <w:rPr>
                <w:rFonts w:ascii="黑体" w:hAnsi="黑体" w:cs="黑体" w:eastAsia="黑体"/>
                <w:sz w:val="18"/>
              </w:rPr>
              <w:t>（3）赎回费：【/】。（适用【D】类份额）</w:t>
              <w:br/>
            </w:r>
            <w:r>
              <w:rPr>
                <w:rFonts w:ascii="黑体" w:hAnsi="黑体" w:cs="黑体" w:eastAsia="黑体"/>
                <w:sz w:val="18"/>
              </w:rPr>
              <w:t>（4）销售服务费：年化费率【0.4%】。（适用【D】类份额）</w:t>
              <w:br/>
            </w:r>
            <w:r>
              <w:rPr>
                <w:rFonts w:ascii="黑体" w:hAnsi="黑体" w:cs="黑体" w:eastAsia="黑体"/>
                <w:sz w:val="18"/>
              </w:rPr>
              <w:t>（5）投资管理费：年化费率【0.3%】</w:t>
              <w:br/>
            </w:r>
            <w:r>
              <w:rPr>
                <w:rFonts w:ascii="黑体" w:hAnsi="黑体" w:cs="黑体" w:eastAsia="黑体"/>
                <w:sz w:val="18"/>
              </w:rPr>
              <w:t>（6）产品托管费：年化费率【0.03%】</w:t>
              <w:br/>
            </w:r>
            <w:r>
              <w:rPr>
                <w:rFonts w:ascii="黑体" w:hAnsi="黑体" w:cs="黑体" w:eastAsia="黑体"/>
                <w:sz w:val="18"/>
              </w:rPr>
              <w:t>（7）超额业绩报酬：</w:t>
              <w:br/>
            </w:r>
            <w:r>
              <w:rPr>
                <w:rFonts w:ascii="黑体" w:hAnsi="黑体" w:cs="黑体" w:eastAsia="黑体"/>
                <w:sz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14:paraId="37EA59D2">
            <w:pPr>
              <w:numPr>
                <w:ilvl w:val="0"/>
                <w:numId w:val="2"/>
              </w:numPr>
              <w:autoSpaceDE w:val="0"/>
              <w:autoSpaceDN w:val="0"/>
              <w:adjustRightInd w:val="0"/>
              <w:spacing w:line="360" w:lineRule="auto"/>
              <w:jc w:val="left"/>
              <w:rPr>
                <w:rFonts w:hint="eastAsia" w:ascii="黑体" w:hAnsi="黑体" w:eastAsia="黑体" w:cs="黑体"/>
                <w:bCs/>
                <w:sz w:val="18"/>
                <w:szCs w:val="18"/>
              </w:rPr>
            </w:pPr>
            <w:r>
              <w:rPr>
                <w:rFonts w:hint="eastAsia" w:ascii="黑体" w:hAnsi="黑体" w:eastAsia="黑体" w:cs="黑体"/>
                <w:bCs/>
                <w:sz w:val="18"/>
                <w:szCs w:val="18"/>
              </w:rPr>
              <w:t>以上费用金额均按照四舍五入方法，保留到小数点后2位。</w:t>
            </w:r>
          </w:p>
          <w:p w14:paraId="1AAF64FA">
            <w:pPr>
              <w:numPr>
                <w:ilvl w:val="0"/>
                <w:numId w:val="2"/>
              </w:numPr>
              <w:autoSpaceDE w:val="0"/>
              <w:autoSpaceDN w:val="0"/>
              <w:adjustRightInd w:val="0"/>
              <w:spacing w:line="360" w:lineRule="auto"/>
              <w:jc w:val="left"/>
              <w:rPr>
                <w:rFonts w:hint="eastAsia" w:ascii="黑体" w:hAnsi="黑体" w:eastAsia="黑体" w:cs="黑体"/>
                <w:bCs/>
                <w:sz w:val="18"/>
                <w:szCs w:val="18"/>
              </w:rPr>
            </w:pPr>
            <w:r>
              <w:rPr>
                <w:rFonts w:hint="eastAsia" w:ascii="黑体" w:hAnsi="黑体" w:eastAsia="黑体" w:cs="黑体"/>
                <w:bCs/>
                <w:sz w:val="18"/>
                <w:szCs w:val="18"/>
              </w:rPr>
              <w:t>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14:paraId="6A3238B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23C7E75">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1161914C">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0F8C1A8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DCFC6DF">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30298800">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13D7A55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4DCDCC7">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07FAD572">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788CCB0F">
      <w:pPr>
        <w:pStyle w:val="34"/>
        <w:spacing w:line="360" w:lineRule="auto"/>
        <w:rPr>
          <w:rFonts w:hAnsi="宋体"/>
          <w:sz w:val="18"/>
          <w:szCs w:val="18"/>
        </w:rPr>
      </w:pPr>
    </w:p>
    <w:p w14:paraId="5EC207EE">
      <w:pPr>
        <w:widowControl/>
        <w:spacing w:line="360" w:lineRule="auto"/>
        <w:jc w:val="left"/>
        <w:rPr>
          <w:rFonts w:ascii="宋体" w:hAnsi="宋体"/>
          <w:color w:val="000000"/>
          <w:kern w:val="0"/>
          <w:sz w:val="18"/>
          <w:szCs w:val="18"/>
        </w:rPr>
      </w:pPr>
      <w:r>
        <w:rPr>
          <w:rFonts w:hAnsi="宋体"/>
          <w:sz w:val="18"/>
          <w:szCs w:val="18"/>
        </w:rPr>
        <w:br w:type="page"/>
      </w:r>
    </w:p>
    <w:p w14:paraId="1F65DBE7">
      <w:pPr>
        <w:pStyle w:val="2"/>
        <w:spacing w:before="0" w:after="0" w:line="360" w:lineRule="auto"/>
        <w:jc w:val="center"/>
        <w:rPr>
          <w:rFonts w:ascii="Times New Roman"/>
          <w:sz w:val="30"/>
        </w:rPr>
      </w:pPr>
      <w:bookmarkStart w:id="12" w:name="_Toc79154666"/>
      <w:bookmarkStart w:id="13" w:name="_Toc22117"/>
      <w:bookmarkStart w:id="14" w:name="_Toc26096"/>
      <w:bookmarkStart w:id="15" w:name="_Toc103260530"/>
      <w:bookmarkStart w:id="16" w:name="_Toc92377132"/>
      <w:bookmarkStart w:id="17" w:name="_Toc20890"/>
      <w:r>
        <w:rPr>
          <w:rFonts w:ascii="Times New Roman"/>
          <w:sz w:val="30"/>
        </w:rPr>
        <w:t>第</w:t>
      </w:r>
      <w:r>
        <w:rPr>
          <w:rFonts w:hint="eastAsia" w:ascii="Times New Roman"/>
          <w:sz w:val="30"/>
        </w:rPr>
        <w:t>三条</w:t>
      </w:r>
      <w:r>
        <w:rPr>
          <w:rFonts w:ascii="Times New Roman"/>
          <w:sz w:val="30"/>
        </w:rPr>
        <w:t xml:space="preserve">  </w:t>
      </w:r>
      <w:bookmarkStart w:id="18" w:name="_Toc79392573"/>
      <w:r>
        <w:rPr>
          <w:rFonts w:hint="eastAsia" w:ascii="Times New Roman"/>
          <w:sz w:val="30"/>
        </w:rPr>
        <w:t>理财产品的认购</w:t>
      </w:r>
      <w:bookmarkEnd w:id="12"/>
      <w:bookmarkEnd w:id="13"/>
      <w:bookmarkEnd w:id="14"/>
      <w:bookmarkEnd w:id="15"/>
      <w:bookmarkEnd w:id="16"/>
      <w:bookmarkEnd w:id="17"/>
    </w:p>
    <w:p w14:paraId="2874298D">
      <w:pPr>
        <w:spacing w:line="360" w:lineRule="auto"/>
        <w:ind w:firstLine="361" w:firstLineChars="200"/>
        <w:rPr>
          <w:rFonts w:asciiTheme="minorEastAsia" w:hAnsiTheme="minorEastAsia"/>
          <w:b/>
          <w:bCs/>
          <w:sz w:val="18"/>
          <w:szCs w:val="18"/>
        </w:rPr>
      </w:pPr>
      <w:bookmarkStart w:id="19" w:name="_Hlt88031774"/>
      <w:bookmarkEnd w:id="19"/>
      <w:bookmarkStart w:id="20" w:name="_Hlt88031741"/>
      <w:r>
        <w:rPr>
          <w:rFonts w:hint="eastAsia" w:asciiTheme="minorEastAsia" w:hAnsiTheme="minorEastAsia"/>
          <w:b/>
          <w:bCs/>
          <w:sz w:val="18"/>
          <w:szCs w:val="18"/>
        </w:rPr>
        <w:t>（一）理财产品的认购</w:t>
      </w:r>
    </w:p>
    <w:p w14:paraId="2F2D78E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73B9EB7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4598070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68D108E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7171907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6D3C9732">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04B8160D">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738B74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46C9AE98">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018A9CE4">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000C8375">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33133D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82217FF">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3AF9C69D">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7954114D">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203FDC1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14:paraId="32945F5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7049D7B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4CD40B8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572E56A7">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7AC99AAF">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7A1A90FB">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51234D49">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674F12C7">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633A66F7">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7949922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6882E2A6">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2A7D62E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73AA1A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0315E99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17198B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50D9B06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认购期/募集期内资金产生的利息（如有），不计入本金份额。</w:t>
      </w:r>
    </w:p>
    <w:p w14:paraId="0B5858AC">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57B335C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74EE6B1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34E4D9D0">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71A0189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60F9AF0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646C453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51557E5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354B633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1D12EEC1">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2401309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03521C90">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47ADC19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8456FA4">
      <w:pPr>
        <w:spacing w:line="360" w:lineRule="auto"/>
        <w:ind w:firstLine="360" w:firstLineChars="200"/>
        <w:rPr>
          <w:rFonts w:asciiTheme="minorEastAsia" w:hAnsiTheme="minorEastAsia"/>
          <w:bCs/>
          <w:sz w:val="18"/>
          <w:szCs w:val="18"/>
        </w:rPr>
      </w:pPr>
    </w:p>
    <w:p w14:paraId="6DA51BAD">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3D9281F7">
      <w:pPr>
        <w:pStyle w:val="2"/>
        <w:spacing w:before="0" w:after="0" w:line="360" w:lineRule="auto"/>
        <w:jc w:val="center"/>
        <w:rPr>
          <w:rFonts w:ascii="Times New Roman"/>
          <w:sz w:val="30"/>
        </w:rPr>
      </w:pPr>
      <w:bookmarkStart w:id="21" w:name="_Toc92377133"/>
      <w:bookmarkStart w:id="22" w:name="_Toc79154667"/>
      <w:bookmarkStart w:id="23" w:name="_Toc27778"/>
      <w:bookmarkStart w:id="24" w:name="_Toc16237"/>
      <w:bookmarkStart w:id="25" w:name="_Toc103260531"/>
      <w:bookmarkStart w:id="26" w:name="_Toc18500"/>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21"/>
      <w:bookmarkEnd w:id="22"/>
      <w:bookmarkEnd w:id="23"/>
      <w:bookmarkEnd w:id="24"/>
      <w:bookmarkEnd w:id="25"/>
      <w:bookmarkEnd w:id="26"/>
    </w:p>
    <w:bookmarkEnd w:id="20"/>
    <w:p w14:paraId="1043E49D">
      <w:pPr>
        <w:spacing w:line="360" w:lineRule="auto"/>
        <w:ind w:firstLine="420" w:firstLineChars="200"/>
      </w:pPr>
    </w:p>
    <w:p w14:paraId="4341FDE8">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1AC80BCB">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48BD72C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6C273A89">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38126389">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4122EC11">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0CAD46A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73EB9188">
      <w:pPr>
        <w:pStyle w:val="34"/>
        <w:spacing w:line="360" w:lineRule="auto"/>
        <w:ind w:firstLine="361" w:firstLineChars="200"/>
        <w:rPr>
          <w:rFonts w:asciiTheme="minorEastAsia" w:hAnsiTheme="minorEastAsia" w:eastAsiaTheme="minorEastAsia"/>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1A8BE804">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683285CF">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5B5E4C1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3BB4BF7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631B7F6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37FE1FBF">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35B9FE14">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3A12494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1310016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26D3C29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67A6D54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48D0321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36D45402">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2021911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2138B04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227B24B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1F3F703D">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775DE29A">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766FA42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17675447">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4D2485C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7CDEE75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59FC6F00">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47386018">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79DB92BA">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48564A83">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14:paraId="15C5FA9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06E068C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32105A1B">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368EB708">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04821014">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024E30B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423D8EBD">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1517273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38313F3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5E4DEC1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3C54B9A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530D24C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3E525D4A">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6CAE6B3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00CEA57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618B6A9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7F19D94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25AEFAD2">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5722790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7462C38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4B756F0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29C08B4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6EF0139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571823E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3ABAB91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2BA04C1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33D3709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2ED5D72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536BEC18">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61951C5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1726F4D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0CD476A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49F01D3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00C7F5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4C60457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1B29487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7B4F923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0249143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03AE670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585438D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5D807C6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54B6A253">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7E03DE35">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5F4BBA9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DF61C69">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7E1485AD">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14:paraId="60BF3C95">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5495972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3A314072">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6319FC8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0F88775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6C7DD67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545115D">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8"/>
    <w:p w14:paraId="48AB7BC3">
      <w:pPr>
        <w:pStyle w:val="2"/>
        <w:spacing w:before="0" w:after="0" w:line="360" w:lineRule="auto"/>
        <w:jc w:val="center"/>
        <w:rPr>
          <w:rFonts w:ascii="Times New Roman"/>
          <w:sz w:val="30"/>
        </w:rPr>
      </w:pPr>
      <w:bookmarkStart w:id="27" w:name="_Toc79154668"/>
      <w:bookmarkStart w:id="28" w:name="_Toc3266"/>
      <w:bookmarkStart w:id="29" w:name="_Toc29948"/>
      <w:bookmarkStart w:id="30" w:name="_Toc20838"/>
      <w:bookmarkStart w:id="31" w:name="_Toc27226"/>
      <w:bookmarkStart w:id="32" w:name="_Toc29784"/>
      <w:bookmarkStart w:id="33" w:name="_Toc15203"/>
      <w:bookmarkStart w:id="34" w:name="_Toc24347"/>
      <w:bookmarkStart w:id="35" w:name="_Toc103260532"/>
      <w:bookmarkStart w:id="36" w:name="_Toc90742688"/>
      <w:bookmarkStart w:id="37" w:name="_Toc90742390"/>
      <w:bookmarkStart w:id="38" w:name="_Toc7151"/>
      <w:bookmarkStart w:id="39" w:name="_Toc92377134"/>
      <w:bookmarkStart w:id="40" w:name="_Toc6714"/>
      <w:bookmarkStart w:id="41" w:name="_Toc25928"/>
      <w:bookmarkStart w:id="42" w:name="_Toc22074"/>
      <w:bookmarkStart w:id="43" w:name="_Toc74065741"/>
      <w:bookmarkStart w:id="44" w:name="_Toc90742321"/>
      <w:bookmarkStart w:id="45" w:name="_Toc16265"/>
      <w:bookmarkStart w:id="46" w:name="_Toc27189"/>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0B945F1">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6FE1BA34">
      <w:pPr>
        <w:pStyle w:val="34"/>
        <w:spacing w:line="360" w:lineRule="auto"/>
        <w:ind w:firstLine="360" w:firstLineChars="200"/>
        <w:rPr>
          <w:rFonts w:hint="eastAsia"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本产品为固定收益类产品，在保持理财资产的低风险和高流动性的前提下，力争实现超越业绩比较基准的投资回报。</w:t>
      </w:r>
    </w:p>
    <w:permEnd w:id="14"/>
    <w:p w14:paraId="1FDE3DD4">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348429D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608A6F4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14:paraId="56DC0290">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14:paraId="788A6619">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48DF1458">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14:paraId="3B7A32FF">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（4）本产品不投资于非标准化债权类资产、不投资于权益类资产、不投资于商品和金融衍生品类资产。</w:t>
      </w:r>
    </w:p>
    <w:permEnd w:id="15"/>
    <w:p w14:paraId="44B79B5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0665A29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566A06E6">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 w14:paraId="556E888E">
      <w:pPr>
        <w:autoSpaceDE w:val="0"/>
        <w:autoSpaceDN w:val="0"/>
        <w:adjustRightInd w:val="0"/>
        <w:spacing w:line="360" w:lineRule="auto"/>
        <w:ind w:firstLine="360" w:firstLineChars="200"/>
        <w:jc w:val="left"/>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非因管理人主观因素导致突破前款规定比例限制的，产品管理人在流动性受限资产可出售、可转让或者恢复交易的15个交易日内调整至符合要求，监管机构规定的特殊情形除外。 </w:t>
      </w:r>
    </w:p>
    <w:permEnd w:id="16"/>
    <w:p w14:paraId="67A9C97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54CE599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06DC3270">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300D8BA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07A51E0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1CE261D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1C6B37A3">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7F9BCFE5">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4F7F90D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0724E954">
      <w:pPr>
        <w:spacing w:line="360" w:lineRule="auto"/>
        <w:ind w:firstLine="360" w:firstLineChars="200"/>
        <w:rPr>
          <w:rFonts w:hint="eastAsia" w:asciiTheme="majorEastAsia" w:hAnsiTheme="majorEastAsia" w:eastAsiaTheme="majorEastAsia"/>
          <w:bCs/>
          <w:color w:val="auto"/>
          <w:sz w:val="18"/>
          <w:szCs w:val="18"/>
        </w:rPr>
      </w:pPr>
      <w:permStart w:id="18" w:edGrp="everyone"/>
      <w:r>
        <w:rPr>
          <w:rFonts w:hint="eastAsia" w:asciiTheme="majorEastAsia" w:hAnsiTheme="majorEastAsia" w:eastAsiaTheme="majorEastAsia"/>
          <w:bCs/>
          <w:color w:val="auto"/>
          <w:sz w:val="18"/>
          <w:szCs w:val="18"/>
        </w:rPr>
        <w:t>（1）每只公募理财产品投资单只证券或者单只公募证券投资基金的市值不得超过该理财产品净资产的10%。</w:t>
      </w:r>
    </w:p>
    <w:p w14:paraId="13C2B495">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（2）全部公募理财产品持有单只证券或单只公募证券投资基金的市值，不得超过该证券市值或该公募证券投资基金市值的30%。</w:t>
      </w:r>
    </w:p>
    <w:p w14:paraId="5AF15D48">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（3）每只开放式公募理财产品直接投资于流动性受限资产的市值在开放日不得超过该产品资产净值的15%。</w:t>
      </w:r>
    </w:p>
    <w:p w14:paraId="3BEA134C">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因证券市场波动、上市公司股票停牌、理财产品规模变动等因素导致理财产品不符合本款规定比例限制的，该理财产品不得主动新增投资流动性受限资产。</w:t>
      </w:r>
    </w:p>
    <w:p w14:paraId="56B6A81D">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022B239F">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6C10D413">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（6）本产品因为流动性需要可开展存单质押、债券正回购等融资业务，本产品总资产不超过净资产的140%。</w:t>
      </w:r>
    </w:p>
    <w:p w14:paraId="1B430B9F">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（7）本产品投资不存在活跃交易市场，并且需要采用估值技术确定公允价值的资产占理财产品净资产的比例低于50%。</w:t>
      </w:r>
    </w:p>
    <w:p w14:paraId="0C490005">
      <w:pPr>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2893AA98">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704226E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5C2424A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45C5DCF3">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6E63266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40B59B0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7CB4AD2D">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75F9C14E">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44DCD08F">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14:paraId="2B759425">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6C448EA1">
      <w:pPr>
        <w:pStyle w:val="2"/>
        <w:spacing w:before="0" w:after="0" w:line="360" w:lineRule="auto"/>
        <w:jc w:val="center"/>
        <w:rPr>
          <w:rFonts w:ascii="Times New Roman"/>
          <w:sz w:val="30"/>
        </w:rPr>
      </w:pPr>
      <w:bookmarkStart w:id="47" w:name="_Toc7848"/>
      <w:bookmarkStart w:id="48" w:name="_Toc18329"/>
      <w:bookmarkStart w:id="49" w:name="_Toc20302"/>
      <w:bookmarkStart w:id="50" w:name="_Toc103260533"/>
      <w:bookmarkStart w:id="51" w:name="_Toc4741"/>
      <w:bookmarkStart w:id="52" w:name="_Toc79154669"/>
      <w:bookmarkStart w:id="53" w:name="_Toc26986"/>
      <w:bookmarkStart w:id="54" w:name="_Toc139991735"/>
      <w:bookmarkStart w:id="55" w:name="_Toc21988"/>
      <w:bookmarkStart w:id="56" w:name="_Toc1823"/>
      <w:bookmarkStart w:id="57" w:name="_Toc16372"/>
      <w:bookmarkStart w:id="58" w:name="_Toc141703885"/>
      <w:bookmarkStart w:id="59" w:name="_Toc18526"/>
      <w:bookmarkStart w:id="60" w:name="_Toc92377135"/>
      <w:bookmarkStart w:id="61" w:name="_Toc74065742"/>
      <w:bookmarkStart w:id="62" w:name="_Toc18797"/>
      <w:bookmarkStart w:id="63" w:name="_Toc14893"/>
      <w:bookmarkStart w:id="64" w:name="_Toc17912"/>
      <w:bookmarkStart w:id="65" w:name="_Toc26100"/>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294A760">
      <w:pPr>
        <w:pStyle w:val="34"/>
        <w:spacing w:line="360" w:lineRule="auto"/>
        <w:ind w:firstLine="361" w:firstLineChars="200"/>
        <w:rPr>
          <w:rFonts w:asciiTheme="majorEastAsia" w:hAnsiTheme="majorEastAsia" w:eastAsiaTheme="majorEastAsia"/>
          <w:b/>
          <w:color w:val="auto"/>
          <w:sz w:val="18"/>
          <w:szCs w:val="18"/>
        </w:rPr>
      </w:pPr>
      <w:bookmarkStart w:id="66" w:name="_Hlk490214295"/>
      <w:r>
        <w:rPr>
          <w:rFonts w:hint="eastAsia" w:asciiTheme="majorEastAsia" w:hAnsiTheme="majorEastAsia" w:eastAsiaTheme="majorEastAsia"/>
          <w:b/>
          <w:color w:val="auto"/>
          <w:sz w:val="18"/>
          <w:szCs w:val="18"/>
        </w:rPr>
        <w:t>（一）理财产品的资产的保管和处分</w:t>
      </w:r>
    </w:p>
    <w:p w14:paraId="3886397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2A0122C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0DFD1FA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5DB22B2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1AC6220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2F08703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1807130A">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6"/>
    <w:p w14:paraId="7DCACFA2">
      <w:pPr>
        <w:pStyle w:val="2"/>
        <w:spacing w:before="0" w:after="0" w:line="360" w:lineRule="auto"/>
        <w:jc w:val="center"/>
        <w:rPr>
          <w:rFonts w:ascii="Times New Roman"/>
          <w:sz w:val="28"/>
          <w:szCs w:val="28"/>
        </w:rPr>
      </w:pPr>
      <w:bookmarkStart w:id="67" w:name="_Toc12709"/>
      <w:bookmarkStart w:id="68" w:name="_Toc103260534"/>
      <w:bookmarkStart w:id="69" w:name="_Toc83391971"/>
      <w:bookmarkStart w:id="70" w:name="_Toc10138"/>
      <w:bookmarkStart w:id="71" w:name="_Toc11569"/>
      <w:bookmarkStart w:id="72" w:name="_Toc92377136"/>
      <w:bookmarkStart w:id="73" w:name="_Toc123051452"/>
      <w:bookmarkStart w:id="74" w:name="_Toc610"/>
      <w:bookmarkStart w:id="75" w:name="_Toc20733"/>
      <w:bookmarkStart w:id="76" w:name="_Toc4003"/>
      <w:bookmarkStart w:id="77" w:name="_Toc10463"/>
      <w:bookmarkStart w:id="78" w:name="_Toc79154670"/>
      <w:bookmarkStart w:id="79" w:name="_Toc23822"/>
      <w:bookmarkStart w:id="80" w:name="_Toc139991736"/>
      <w:bookmarkStart w:id="81" w:name="_Toc1270"/>
      <w:bookmarkStart w:id="82" w:name="_Toc79392606"/>
      <w:bookmarkStart w:id="83" w:name="_Toc17244"/>
      <w:bookmarkStart w:id="84" w:name="_Toc7920"/>
      <w:bookmarkStart w:id="85" w:name="_Toc1427"/>
      <w:bookmarkStart w:id="86" w:name="_Toc123102453"/>
      <w:bookmarkStart w:id="87" w:name="_Toc123112234"/>
      <w:bookmarkStart w:id="88" w:name="_Toc23261"/>
      <w:bookmarkStart w:id="89" w:name="_Toc141703886"/>
      <w:bookmarkStart w:id="90" w:name="_Toc74065743"/>
      <w:bookmarkStart w:id="91" w:name="_Toc48649707"/>
      <w:bookmarkStart w:id="92" w:name="_Toc9856035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7"/>
      <w:bookmarkEnd w:id="68"/>
      <w:bookmarkEnd w:id="69"/>
      <w:bookmarkEnd w:id="70"/>
      <w:bookmarkEnd w:id="71"/>
      <w:bookmarkEnd w:id="72"/>
    </w:p>
    <w:p w14:paraId="3202FA16">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253DEA53">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6837EA8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5CDE59DA">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130857C4">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w:t>
      </w:r>
      <w:r>
        <w:rPr>
          <w:rFonts w:hint="eastAsia"/>
          <w:sz w:val="18"/>
          <w:szCs w:val="18"/>
          <w:lang w:val="en-US" w:eastAsia="zh-CN"/>
        </w:rPr>
        <w:t>周</w:t>
      </w:r>
      <w:r>
        <w:rPr>
          <w:rFonts w:hint="eastAsia"/>
          <w:sz w:val="18"/>
          <w:szCs w:val="18"/>
        </w:rPr>
        <w:t>】进行一次估值。如遇产品申购日/赎回日、季度末、半年度末、年度末等时间节点管理人将增加估值日。</w:t>
      </w:r>
    </w:p>
    <w:permEnd w:id="20"/>
    <w:p w14:paraId="06217288">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0221C0E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7E3F9E4F">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3B3E6F77">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2B384DD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1C9480C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71AFEF3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（2）对已发行但未上市流通，且第三方估值机构未提供估值数据的标准化债权类资产，采用当前情况下适用并且有足够可利用数据和其他信息支持的估值技术确定其公允价值。</w:t>
      </w:r>
    </w:p>
    <w:p w14:paraId="04EB920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14:paraId="37BE337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14:paraId="1FF267FF">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1E8B4AA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14:paraId="65A183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69442E1D">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14:paraId="7CBE29D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5B475A2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0C307AA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3B5C3D3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76656C4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42AC1A0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674B334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006DC2B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14:paraId="34895EB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7DF5B28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6D170D7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3825341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7F67021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14:paraId="55774108">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14:paraId="08D198D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5C38F2A8">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0ABF7C5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14:paraId="4D730F47">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14:paraId="5D69C8D4">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42F17BB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14:paraId="7B38F2A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01CC73AC">
      <w:pPr>
        <w:pStyle w:val="34"/>
        <w:spacing w:line="360" w:lineRule="auto"/>
        <w:ind w:firstLine="360" w:firstLineChars="200"/>
        <w:rPr>
          <w:rFonts w:cs="Times New Roman"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14:paraId="05E0B08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14:paraId="7448E45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0147CD9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2CFA4D2D">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5BB0DE2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14:paraId="3781A55C">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6E441A68">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29BDF09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3CBCBA0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6B2845F9">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0B8108A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68343531">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7B748A4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2FDDB9D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5F481A44">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07282C66">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4D54C23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6499168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2E53BC98">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52509661">
      <w:pPr>
        <w:widowControl/>
        <w:spacing w:line="360" w:lineRule="auto"/>
        <w:jc w:val="left"/>
        <w:rPr>
          <w:rFonts w:ascii="宋体" w:hAnsi="宋体"/>
          <w:kern w:val="0"/>
          <w:sz w:val="18"/>
          <w:szCs w:val="18"/>
        </w:rPr>
      </w:pPr>
      <w:r>
        <w:rPr>
          <w:rFonts w:hAnsi="宋体"/>
          <w:sz w:val="18"/>
          <w:szCs w:val="18"/>
        </w:rPr>
        <w:br w:type="page"/>
      </w:r>
    </w:p>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14:paraId="04611C7A">
      <w:pPr>
        <w:pStyle w:val="2"/>
        <w:spacing w:before="0" w:after="0" w:line="360" w:lineRule="auto"/>
        <w:ind w:left="60" w:firstLine="10"/>
        <w:jc w:val="center"/>
        <w:rPr>
          <w:rFonts w:ascii="Times New Roman"/>
          <w:sz w:val="30"/>
        </w:rPr>
      </w:pPr>
      <w:bookmarkStart w:id="93" w:name="_Hlt70481650"/>
      <w:bookmarkEnd w:id="93"/>
      <w:bookmarkStart w:id="94" w:name="_Toc79154671"/>
      <w:bookmarkStart w:id="95" w:name="_Toc141703887"/>
      <w:bookmarkStart w:id="96" w:name="_Toc98560353"/>
      <w:bookmarkStart w:id="97" w:name="_Toc31653"/>
      <w:bookmarkStart w:id="98" w:name="_Toc31235"/>
      <w:bookmarkStart w:id="99" w:name="_Toc139991737"/>
      <w:bookmarkStart w:id="100" w:name="_Toc12245"/>
      <w:bookmarkStart w:id="101" w:name="_Toc92377137"/>
      <w:bookmarkStart w:id="102" w:name="_Toc123102454"/>
      <w:bookmarkStart w:id="103" w:name="_Toc3805"/>
      <w:bookmarkStart w:id="104" w:name="_Toc3601"/>
      <w:bookmarkStart w:id="105" w:name="_Toc14835"/>
      <w:bookmarkStart w:id="106" w:name="_Toc74065744"/>
      <w:bookmarkStart w:id="107" w:name="_Toc123051453"/>
      <w:bookmarkStart w:id="108" w:name="_Toc6405"/>
      <w:bookmarkStart w:id="109" w:name="_Toc15143"/>
      <w:bookmarkStart w:id="110" w:name="_Toc18706"/>
      <w:bookmarkStart w:id="111" w:name="_Toc26207"/>
      <w:bookmarkStart w:id="112" w:name="_Toc29251"/>
      <w:bookmarkStart w:id="113" w:name="_Toc14373"/>
      <w:bookmarkStart w:id="114" w:name="_Toc103260535"/>
      <w:bookmarkStart w:id="115" w:name="_Toc31644"/>
      <w:bookmarkStart w:id="116" w:name="_Toc123112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7" w:name="_Hlt55355235"/>
      <w:bookmarkEnd w:id="117"/>
      <w:bookmarkStart w:id="118" w:name="_Toc79392580"/>
      <w:bookmarkStart w:id="119" w:name="_Toc57530239"/>
      <w:bookmarkStart w:id="120" w:name="_Toc15118234"/>
      <w:bookmarkStart w:id="121" w:name="_Toc523711668"/>
    </w:p>
    <w:p w14:paraId="334544A7">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3AD51DE2">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1DA21D58">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5A8BECC4">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15BE7FB9">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0D5F704E">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679ACBB4">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6D0EF49E">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777BE591">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14:paraId="4560A772">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1BDF41D7">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214A55C0">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66F95413">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39FD3199">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0F24A1C0">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09690CE7">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02B0CB11">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517D3C86">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2B3B9586">
      <w:pPr>
        <w:widowControl/>
        <w:spacing w:line="360" w:lineRule="auto"/>
        <w:jc w:val="left"/>
        <w:rPr>
          <w:rFonts w:ascii="宋体" w:hAnsi="宋体"/>
          <w:kern w:val="0"/>
          <w:sz w:val="18"/>
          <w:szCs w:val="18"/>
        </w:rPr>
      </w:pPr>
      <w:r>
        <w:rPr>
          <w:rFonts w:hAnsi="宋体"/>
          <w:sz w:val="18"/>
          <w:szCs w:val="18"/>
        </w:rPr>
        <w:br w:type="page"/>
      </w:r>
    </w:p>
    <w:bookmarkEnd w:id="118"/>
    <w:bookmarkEnd w:id="119"/>
    <w:bookmarkEnd w:id="120"/>
    <w:bookmarkEnd w:id="121"/>
    <w:p w14:paraId="561F8C70">
      <w:pPr>
        <w:pStyle w:val="2"/>
        <w:spacing w:before="0" w:after="0" w:line="360" w:lineRule="auto"/>
        <w:jc w:val="center"/>
        <w:rPr>
          <w:rFonts w:ascii="Times New Roman"/>
          <w:sz w:val="30"/>
        </w:rPr>
      </w:pPr>
      <w:bookmarkStart w:id="122" w:name="_Hlt88825574"/>
      <w:bookmarkEnd w:id="122"/>
      <w:bookmarkStart w:id="123" w:name="_Hlt88897298"/>
      <w:bookmarkEnd w:id="123"/>
      <w:bookmarkStart w:id="124" w:name="_Toc25783"/>
      <w:bookmarkStart w:id="125" w:name="_Toc141703888"/>
      <w:bookmarkStart w:id="126" w:name="_Toc98560354"/>
      <w:bookmarkStart w:id="127" w:name="_Toc12257"/>
      <w:bookmarkStart w:id="128" w:name="_Toc7058"/>
      <w:bookmarkStart w:id="129" w:name="_Toc139991738"/>
      <w:bookmarkStart w:id="130" w:name="_Toc74065745"/>
      <w:bookmarkStart w:id="131" w:name="_Toc92377138"/>
      <w:bookmarkStart w:id="132" w:name="_Toc6447"/>
      <w:bookmarkStart w:id="133" w:name="_Toc10650"/>
      <w:bookmarkStart w:id="134" w:name="_Toc123112236"/>
      <w:bookmarkStart w:id="135" w:name="_Toc3321"/>
      <w:bookmarkStart w:id="136" w:name="_Toc5653"/>
      <w:bookmarkStart w:id="137" w:name="_Toc123051454"/>
      <w:bookmarkStart w:id="138" w:name="_Toc11030"/>
      <w:bookmarkStart w:id="139" w:name="_Toc4559"/>
      <w:bookmarkStart w:id="140" w:name="_Toc3771"/>
      <w:bookmarkStart w:id="141" w:name="_Toc79154672"/>
      <w:bookmarkStart w:id="142" w:name="_Toc9706"/>
      <w:bookmarkStart w:id="143" w:name="_Toc123102455"/>
      <w:bookmarkStart w:id="144" w:name="_Toc18567"/>
      <w:bookmarkStart w:id="145" w:name="_Toc103260536"/>
      <w:bookmarkStart w:id="146" w:name="_Toc20951"/>
      <w:bookmarkStart w:id="147" w:name="_Toc79392583"/>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7A97803C">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14:paraId="3356B9C3">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14:paraId="2B16A44F">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14:paraId="1CF769A1">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14:paraId="43E319FC">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14:paraId="54444C2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14:paraId="19DBBC01">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14:paraId="1E53015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14:paraId="0EF9A5B2">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14:paraId="5EE52F9C">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14:paraId="79B1B82C">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14:paraId="0603430B">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1）认购费：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14:paraId="31B24651">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2）申购费：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14:paraId="7BFF35FE">
      <w:pPr>
        <w:widowControl/>
        <w:spacing w:line="360" w:lineRule="auto"/>
        <w:ind w:firstLine="360" w:firstLineChars="200"/>
        <w:jc w:val="left"/>
        <w:rPr>
          <w:rStyle w:val="30"/>
          <w:rFonts w:hint="eastAsia" w:ascii="黑体" w:hAnsi="黑体" w:eastAsia="黑体" w:cs="黑体"/>
          <w:kern w:val="0"/>
        </w:rPr>
      </w:pPr>
      <w:r>
        <w:rPr>
          <w:rFonts w:hint="eastAsia" w:ascii="黑体" w:hAnsi="黑体" w:eastAsia="黑体" w:cs="黑体"/>
          <w:kern w:val="0"/>
          <w:sz w:val="18"/>
          <w:szCs w:val="18"/>
        </w:rPr>
        <w:t>3）赎回费：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14:paraId="405AA75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14:paraId="476E30EB">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14:paraId="266977E2">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14:paraId="1DF97FEC">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14:paraId="220D8E64">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14:paraId="6DE5E9DB">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 w14:paraId="0A6BBB8B">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14:paraId="64555AA5">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14:paraId="537ACED8">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14:paraId="5F2E5E8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14:paraId="7BA93640">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14:paraId="28FB81DA">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14:paraId="34E5342F">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（4）超额业绩报酬</w:t>
      </w:r>
    </w:p>
    <w:p w14:paraId="77F88DF2">
      <w:pPr>
        <w:widowControl/>
        <w:spacing w:line="360" w:lineRule="auto"/>
        <w:ind w:firstLine="360" w:firstLineChars="200"/>
        <w:jc w:val="left"/>
        <w:rPr>
          <w:rFonts w:hint="eastAsia" w:ascii="黑体" w:hAnsi="黑体" w:eastAsia="黑体" w:cs="黑体"/>
          <w:sz w:val="18"/>
          <w:szCs w:val="18"/>
        </w:rPr>
      </w:pPr>
      <w:permStart w:id="23" w:edGrp="everyone"/>
      <w:r>
        <w:rPr>
          <w:rFonts w:hint="eastAsia" w:ascii="黑体" w:hAnsi="黑体" w:eastAsia="黑体" w:cs="黑体"/>
          <w:kern w:val="0"/>
          <w:sz w:val="18"/>
          <w:szCs w:val="18"/>
        </w:rPr>
        <w:t>本产品不收取超额业绩报酬。</w:t>
      </w:r>
    </w:p>
    <w:permEnd w:id="23"/>
    <w:p w14:paraId="5ACD9983">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14:paraId="32B89BB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14:paraId="1A04A78C">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14:paraId="05D87EB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14:paraId="33DB420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14:paraId="7C539A8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14:paraId="5A8EFA7B">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14:paraId="2C0D510D">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14:paraId="29FA8B3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14:paraId="59C69A9E">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14:paraId="71F51CC8">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6E9C827D">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5022460F">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将依本产品说明书的“理财产品的信息披露”条款约定进行公告。</w:t>
      </w:r>
    </w:p>
    <w:p w14:paraId="26234D69">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58ED497A">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38E65EAB">
      <w:pPr>
        <w:pStyle w:val="2"/>
        <w:spacing w:line="360" w:lineRule="auto"/>
        <w:jc w:val="center"/>
      </w:pPr>
      <w:bookmarkStart w:id="148" w:name="_Toc1745"/>
      <w:bookmarkStart w:id="149" w:name="_Toc3963"/>
      <w:r>
        <w:br w:type="page"/>
      </w:r>
      <w:bookmarkStart w:id="150" w:name="_Toc123102456"/>
      <w:bookmarkStart w:id="151" w:name="_Toc79154673"/>
      <w:bookmarkStart w:id="152" w:name="_Toc3080"/>
      <w:bookmarkStart w:id="153" w:name="_Toc10398"/>
      <w:bookmarkStart w:id="154" w:name="_Toc24853"/>
      <w:bookmarkStart w:id="155" w:name="_Toc21735"/>
      <w:bookmarkStart w:id="156" w:name="_Toc3572"/>
      <w:bookmarkStart w:id="157" w:name="_Toc123051455"/>
      <w:bookmarkStart w:id="158" w:name="_Toc123112237"/>
      <w:bookmarkStart w:id="159" w:name="_Toc98560355"/>
      <w:bookmarkStart w:id="160" w:name="_Toc31821"/>
      <w:bookmarkStart w:id="161" w:name="_Toc18206"/>
      <w:bookmarkStart w:id="162" w:name="_Toc141703889"/>
      <w:bookmarkStart w:id="163" w:name="_Toc92377139"/>
      <w:bookmarkStart w:id="164" w:name="_Toc3880"/>
      <w:bookmarkStart w:id="165" w:name="_Toc19648"/>
      <w:bookmarkStart w:id="166" w:name="_Toc139991739"/>
      <w:bookmarkStart w:id="167" w:name="_Toc74065746"/>
      <w:bookmarkStart w:id="168" w:name="_Toc725"/>
      <w:bookmarkStart w:id="169" w:name="_Toc103260537"/>
      <w:bookmarkStart w:id="170" w:name="_Toc16164"/>
      <w:r>
        <w:rPr>
          <w:rFonts w:hint="eastAsia"/>
          <w:sz w:val="30"/>
        </w:rPr>
        <w:t>第十条</w:t>
      </w:r>
      <w:r>
        <w:rPr>
          <w:sz w:val="30"/>
        </w:rPr>
        <w:t xml:space="preserve">  </w:t>
      </w:r>
      <w:r>
        <w:rPr>
          <w:rFonts w:hint="eastAsia"/>
          <w:sz w:val="30"/>
        </w:rPr>
        <w:t>理财产品的终止与清算</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14002DF5">
      <w:pPr>
        <w:spacing w:line="360" w:lineRule="auto"/>
        <w:ind w:firstLine="361" w:firstLineChars="200"/>
        <w:rPr>
          <w:rFonts w:asciiTheme="majorEastAsia" w:hAnsiTheme="majorEastAsia" w:eastAsiaTheme="majorEastAsia"/>
          <w:b/>
          <w:bCs/>
          <w:sz w:val="18"/>
          <w:szCs w:val="18"/>
        </w:rPr>
      </w:pPr>
      <w:bookmarkStart w:id="171" w:name="_Toc57530252"/>
      <w:bookmarkStart w:id="172" w:name="_Toc15118245"/>
      <w:bookmarkStart w:id="173" w:name="_Toc79392593"/>
      <w:r>
        <w:rPr>
          <w:rFonts w:hint="eastAsia" w:asciiTheme="majorEastAsia" w:hAnsiTheme="majorEastAsia" w:eastAsiaTheme="majorEastAsia"/>
          <w:b/>
          <w:bCs/>
          <w:sz w:val="18"/>
          <w:szCs w:val="18"/>
        </w:rPr>
        <w:t>（一）理财产品的终止</w:t>
      </w:r>
    </w:p>
    <w:p w14:paraId="7124295B">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120EF41E">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2D8D2A4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3DBD2E4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057CDE7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0F461C4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283013F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2418C27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7D1265C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37B4277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2D0D4F7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5B5F5490">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4BD51032">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05F579A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4F32408F">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0493ED2C">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4359A3D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59B5C689">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1C53DD45">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71"/>
    <w:bookmarkEnd w:id="172"/>
    <w:bookmarkEnd w:id="173"/>
    <w:p w14:paraId="39F5ADB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427D10D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4D2CFDD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40F351C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5907E5B1">
      <w:pPr>
        <w:tabs>
          <w:tab w:val="left" w:pos="5460"/>
        </w:tabs>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理财产品部分终止日（含当日）至理财利益实际到账日之间产生的利息（如有），归投资者所有。</w:t>
      </w:r>
    </w:p>
    <w:p w14:paraId="27322C44">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lang w:val="en-US" w:eastAsia="zh-CN"/>
        </w:rPr>
        <w:t>3.</w:t>
      </w:r>
      <w:r>
        <w:rPr>
          <w:rFonts w:hint="eastAsia" w:asciiTheme="majorEastAsia" w:hAnsiTheme="majorEastAsia" w:eastAsiaTheme="majorEastAsia"/>
          <w:bCs/>
          <w:sz w:val="18"/>
          <w:szCs w:val="18"/>
        </w:rPr>
        <w:t>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619D3B8E">
      <w:pPr>
        <w:spacing w:line="360" w:lineRule="auto"/>
        <w:ind w:firstLine="360" w:firstLineChars="200"/>
        <w:rPr>
          <w:rFonts w:hint="eastAsia" w:asciiTheme="majorEastAsia" w:hAnsiTheme="majorEastAsia" w:eastAsiaTheme="majorEastAsia"/>
          <w:bCs/>
          <w:sz w:val="18"/>
          <w:szCs w:val="18"/>
          <w:lang w:val="en-US" w:eastAsia="zh-CN"/>
        </w:rPr>
      </w:pPr>
      <w:r>
        <w:rPr>
          <w:rFonts w:hint="eastAsia" w:asciiTheme="majorEastAsia" w:hAnsiTheme="majorEastAsia" w:eastAsiaTheme="majorEastAsia"/>
          <w:bCs/>
          <w:sz w:val="18"/>
          <w:szCs w:val="18"/>
          <w:lang w:val="en-US" w:eastAsia="zh-CN"/>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w:t>
      </w:r>
      <w:r>
        <w:rPr>
          <w:rFonts w:hint="eastAsia" w:asciiTheme="majorEastAsia" w:hAnsiTheme="majorEastAsia" w:eastAsiaTheme="majorEastAsia"/>
          <w:bCs/>
          <w:sz w:val="18"/>
          <w:szCs w:val="18"/>
        </w:rPr>
        <w:t>【5】</w:t>
      </w:r>
      <w:r>
        <w:rPr>
          <w:rFonts w:hint="eastAsia" w:asciiTheme="majorEastAsia" w:hAnsiTheme="majorEastAsia" w:eastAsiaTheme="majorEastAsia"/>
          <w:bCs/>
          <w:sz w:val="18"/>
          <w:szCs w:val="18"/>
          <w:lang w:val="en-US" w:eastAsia="zh-CN"/>
        </w:rPr>
        <w:t>个工作日内按投资者持有的理财产品份额比例向投资者进行再次分配。</w:t>
      </w:r>
    </w:p>
    <w:p w14:paraId="0DA76B8E">
      <w:pPr>
        <w:pStyle w:val="2"/>
        <w:spacing w:before="0" w:after="0" w:line="360" w:lineRule="auto"/>
        <w:jc w:val="center"/>
        <w:rPr>
          <w:rFonts w:ascii="Times New Roman"/>
          <w:sz w:val="18"/>
          <w:szCs w:val="18"/>
        </w:rPr>
      </w:pPr>
      <w:r>
        <w:rPr>
          <w:rFonts w:ascii="Times New Roman"/>
          <w:b w:val="0"/>
          <w:bCs w:val="0"/>
          <w:kern w:val="2"/>
        </w:rPr>
        <w:br w:type="page"/>
      </w:r>
      <w:bookmarkStart w:id="174" w:name="_Toc22283"/>
      <w:bookmarkStart w:id="175" w:name="_Toc103260538"/>
      <w:bookmarkStart w:id="176" w:name="_Toc23820"/>
      <w:bookmarkStart w:id="177" w:name="_Toc92377140"/>
      <w:bookmarkStart w:id="178" w:name="_Toc9552"/>
      <w:bookmarkStart w:id="179" w:name="_Toc123051456"/>
      <w:bookmarkStart w:id="180" w:name="_Toc5170"/>
      <w:bookmarkStart w:id="181" w:name="_Toc74065747"/>
      <w:bookmarkStart w:id="182" w:name="_Toc98560356"/>
      <w:bookmarkStart w:id="183" w:name="_Toc17198"/>
      <w:bookmarkStart w:id="184" w:name="_Toc83391975"/>
      <w:bookmarkStart w:id="185" w:name="_Toc32092"/>
      <w:bookmarkStart w:id="186" w:name="_Toc141703890"/>
      <w:bookmarkStart w:id="187" w:name="_Toc739"/>
      <w:bookmarkStart w:id="188" w:name="_Toc21237"/>
      <w:bookmarkStart w:id="189" w:name="_Toc123102457"/>
      <w:bookmarkStart w:id="190" w:name="_Toc3329"/>
      <w:bookmarkStart w:id="191" w:name="_Toc17920"/>
      <w:bookmarkStart w:id="192" w:name="_Toc139991740"/>
      <w:bookmarkStart w:id="193" w:name="_Toc79392622"/>
      <w:bookmarkStart w:id="194" w:name="_Toc32584"/>
      <w:bookmarkStart w:id="195" w:name="_Toc29408"/>
      <w:bookmarkStart w:id="196" w:name="_Toc123112238"/>
      <w:bookmarkStart w:id="197" w:name="_Toc79154674"/>
      <w:bookmarkStart w:id="198" w:name="_Toc48649708"/>
      <w:bookmarkStart w:id="199" w:name="_Toc8791"/>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74"/>
      <w:bookmarkEnd w:id="175"/>
      <w:bookmarkEnd w:id="176"/>
      <w:bookmarkEnd w:id="177"/>
      <w:bookmarkEnd w:id="178"/>
    </w:p>
    <w:p w14:paraId="7626B93E">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7B22EE42">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3AEC084E">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75C7A50E">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1C6C6A90">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4812CAEE">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7753E7B6">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56C09E2D">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38AC6CD2">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42D6B786">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7A6AF71D">
      <w:pPr>
        <w:spacing w:line="360" w:lineRule="auto"/>
        <w:ind w:firstLine="360" w:firstLineChars="200"/>
        <w:rPr>
          <w:rFonts w:ascii="宋体" w:hAnsi="宋体"/>
          <w:bCs/>
          <w:sz w:val="18"/>
          <w:szCs w:val="18"/>
        </w:rPr>
      </w:pPr>
      <w:r>
        <w:rPr>
          <w:rFonts w:ascii="宋体" w:hAnsi="宋体"/>
          <w:bCs/>
          <w:sz w:val="18"/>
          <w:szCs w:val="18"/>
        </w:rPr>
        <w:t>1.产品成立公告</w:t>
      </w:r>
    </w:p>
    <w:p w14:paraId="4EFAB43E">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508E3D37">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206E5646">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61B16FE2">
      <w:pPr>
        <w:spacing w:line="360" w:lineRule="auto"/>
        <w:ind w:firstLine="360" w:firstLineChars="200"/>
        <w:rPr>
          <w:rFonts w:ascii="宋体" w:hAnsi="宋体"/>
          <w:bCs/>
          <w:sz w:val="18"/>
          <w:szCs w:val="18"/>
        </w:rPr>
      </w:pPr>
      <w:r>
        <w:rPr>
          <w:rFonts w:ascii="宋体" w:hAnsi="宋体"/>
          <w:bCs/>
          <w:sz w:val="18"/>
          <w:szCs w:val="18"/>
        </w:rPr>
        <w:t>3.定期报告</w:t>
      </w:r>
    </w:p>
    <w:p w14:paraId="1EADD623">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5C5926BA">
      <w:pPr>
        <w:spacing w:line="360" w:lineRule="auto"/>
        <w:ind w:firstLine="360" w:firstLineChars="200"/>
        <w:rPr>
          <w:rFonts w:ascii="宋体" w:hAnsi="宋体"/>
          <w:bCs/>
          <w:sz w:val="18"/>
          <w:szCs w:val="18"/>
        </w:rPr>
      </w:pPr>
      <w:r>
        <w:rPr>
          <w:rFonts w:ascii="宋体" w:hAnsi="宋体"/>
          <w:bCs/>
          <w:sz w:val="18"/>
          <w:szCs w:val="18"/>
        </w:rPr>
        <w:t>4.到期公告</w:t>
      </w:r>
    </w:p>
    <w:p w14:paraId="71115FC8">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1014E2D7">
      <w:pPr>
        <w:spacing w:line="360" w:lineRule="auto"/>
        <w:ind w:firstLine="360" w:firstLineChars="200"/>
        <w:rPr>
          <w:rFonts w:ascii="宋体" w:hAnsi="宋体"/>
          <w:bCs/>
          <w:sz w:val="18"/>
          <w:szCs w:val="18"/>
        </w:rPr>
      </w:pPr>
      <w:r>
        <w:rPr>
          <w:rFonts w:ascii="宋体" w:hAnsi="宋体"/>
          <w:bCs/>
          <w:sz w:val="18"/>
          <w:szCs w:val="18"/>
        </w:rPr>
        <w:t>5.开放日</w:t>
      </w:r>
      <w:r>
        <w:rPr>
          <w:rFonts w:hint="eastAsia" w:ascii="宋体" w:hAnsi="宋体"/>
          <w:bCs/>
          <w:sz w:val="18"/>
          <w:szCs w:val="18"/>
        </w:rPr>
        <w:t>/估值日</w:t>
      </w:r>
      <w:r>
        <w:rPr>
          <w:rFonts w:ascii="宋体" w:hAnsi="宋体"/>
          <w:bCs/>
          <w:sz w:val="18"/>
          <w:szCs w:val="18"/>
        </w:rPr>
        <w:t>公告</w:t>
      </w:r>
    </w:p>
    <w:p w14:paraId="3B3A14D0">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14:paraId="5B45FEC9">
      <w:pPr>
        <w:spacing w:line="360" w:lineRule="auto"/>
        <w:ind w:firstLine="360" w:firstLineChars="200"/>
        <w:rPr>
          <w:rFonts w:ascii="宋体" w:hAnsi="宋体"/>
          <w:bCs/>
          <w:sz w:val="18"/>
          <w:szCs w:val="18"/>
        </w:rPr>
      </w:pPr>
      <w:r>
        <w:rPr>
          <w:rFonts w:ascii="宋体" w:hAnsi="宋体"/>
          <w:bCs/>
          <w:sz w:val="18"/>
          <w:szCs w:val="18"/>
        </w:rPr>
        <w:t>6.临时公告</w:t>
      </w:r>
    </w:p>
    <w:p w14:paraId="0692C83C">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68DF037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607BA960">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60BFFA6B">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222AEA9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492F274B">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2AEB3E5B">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3F3E7A64">
      <w:pPr>
        <w:spacing w:line="360" w:lineRule="auto"/>
        <w:ind w:firstLine="480" w:firstLineChars="200"/>
        <w:rPr>
          <w:bCs/>
          <w:sz w:val="24"/>
        </w:rPr>
      </w:pPr>
      <w:r>
        <w:rPr>
          <w:sz w:val="24"/>
        </w:rPr>
        <w:br w:type="page"/>
      </w:r>
    </w:p>
    <w:p w14:paraId="331F03B7">
      <w:pPr>
        <w:pStyle w:val="2"/>
        <w:spacing w:before="0" w:after="0" w:line="360" w:lineRule="auto"/>
        <w:jc w:val="center"/>
        <w:rPr>
          <w:rFonts w:ascii="Times New Roman"/>
          <w:b w:val="0"/>
          <w:sz w:val="30"/>
        </w:rPr>
      </w:pPr>
      <w:bookmarkStart w:id="200" w:name="_Toc17790"/>
      <w:bookmarkStart w:id="201" w:name="_Toc103260539"/>
      <w:bookmarkStart w:id="202" w:name="_Toc92377141"/>
      <w:bookmarkStart w:id="203" w:name="_Toc9986"/>
      <w:bookmarkStart w:id="204" w:name="_Toc79154675"/>
      <w:bookmarkStart w:id="205" w:name="_Toc28813"/>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00"/>
      <w:bookmarkEnd w:id="201"/>
      <w:bookmarkEnd w:id="202"/>
      <w:bookmarkEnd w:id="203"/>
      <w:bookmarkEnd w:id="204"/>
      <w:bookmarkEnd w:id="205"/>
    </w:p>
    <w:p w14:paraId="6C1CA1E6">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32B658B8">
      <w:pPr>
        <w:spacing w:line="360" w:lineRule="auto"/>
        <w:ind w:firstLine="360" w:firstLineChars="200"/>
        <w:rPr>
          <w:rFonts w:hint="eastAsia" w:ascii="宋体" w:hAnsi="宋体"/>
          <w:sz w:val="18"/>
          <w:szCs w:val="18"/>
        </w:rPr>
      </w:pPr>
      <w:permStart w:id="25" w:edGrp="everyone"/>
      <w:r>
        <w:rPr>
          <w:rFonts w:hint="eastAsia" w:ascii="宋体" w:hAnsi="宋体"/>
          <w:sz w:val="18"/>
          <w:szCs w:val="18"/>
        </w:rPr>
        <w:t>【1.拟投资市场和资产的风险：</w:t>
      </w:r>
    </w:p>
    <w:p w14:paraId="38FE6E42">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14:paraId="37326D3E">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14:paraId="7BA3C48A">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14:paraId="62BE3BC2">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14:paraId="68D42D13">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5A071C43">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60AA1C1C">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69B4BFD8">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4864E7F6">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F7DCCC4">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0F5C5F2D">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66DF743C">
      <w:pPr>
        <w:spacing w:line="360" w:lineRule="auto"/>
        <w:ind w:firstLine="360" w:firstLineChars="200"/>
        <w:rPr>
          <w:rFonts w:ascii="宋体" w:hAnsi="宋体"/>
          <w:sz w:val="18"/>
          <w:szCs w:val="18"/>
        </w:rPr>
      </w:pPr>
      <w:r>
        <w:rPr>
          <w:rFonts w:hint="eastAsia" w:ascii="宋体" w:hAnsi="宋体"/>
          <w:sz w:val="18"/>
          <w:szCs w:val="18"/>
        </w:rPr>
        <w:t>4.流动性风险</w:t>
      </w:r>
    </w:p>
    <w:p w14:paraId="44431D8E">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75F68971">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138DB77A">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4AF78A47">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14:paraId="62DCFE7E">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735B02FE">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3496E306">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27568641">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5C97C82E">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70D98928">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41811490">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77AFB8D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75ED9D8C">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0E9FD584">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35F9B85C">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7DEF3D8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4E526D00">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55AC1B81">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4BBD638F">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544C908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02F8D426">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20264379">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3A79E3CA">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2BB751DA">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27AB2D65">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3029F56C">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14:paraId="17910F81">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E63D83E">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245B4F20">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2348D6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5C6F98D6">
            <w:pPr>
              <w:spacing w:line="280" w:lineRule="atLeast"/>
              <w:ind w:firstLine="422"/>
              <w:jc w:val="center"/>
              <w:rPr>
                <w:rFonts w:ascii="宋体" w:hAnsi="宋体" w:cs="Arial"/>
                <w:b/>
                <w:szCs w:val="21"/>
              </w:rPr>
            </w:pPr>
            <w:r>
              <w:rPr>
                <w:rFonts w:hint="eastAsia" w:ascii="宋体" w:hAnsi="宋体" w:cs="Arial"/>
                <w:b/>
                <w:szCs w:val="21"/>
              </w:rPr>
              <w:t>投资者确认栏</w:t>
            </w:r>
          </w:p>
          <w:p w14:paraId="07EA2944">
            <w:pPr>
              <w:spacing w:line="360" w:lineRule="auto"/>
              <w:ind w:firstLine="361"/>
              <w:rPr>
                <w:b/>
                <w:sz w:val="18"/>
                <w:szCs w:val="18"/>
              </w:rPr>
            </w:pPr>
          </w:p>
        </w:tc>
      </w:tr>
      <w:tr w14:paraId="121DA3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29928CB8">
            <w:pPr>
              <w:spacing w:line="360" w:lineRule="auto"/>
              <w:jc w:val="left"/>
              <w:rPr>
                <w:b/>
                <w:sz w:val="18"/>
                <w:szCs w:val="18"/>
              </w:rPr>
            </w:pPr>
            <w:r>
              <w:rPr>
                <w:rFonts w:hint="eastAsia"/>
                <w:b/>
                <w:sz w:val="18"/>
                <w:szCs w:val="18"/>
              </w:rPr>
              <w:t>个人投资者适用</w:t>
            </w:r>
          </w:p>
        </w:tc>
        <w:tc>
          <w:tcPr>
            <w:tcW w:w="7371" w:type="dxa"/>
          </w:tcPr>
          <w:p w14:paraId="713DE6CD">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1C89D8B7">
            <w:pPr>
              <w:spacing w:line="360" w:lineRule="auto"/>
              <w:ind w:firstLine="361"/>
              <w:jc w:val="left"/>
              <w:rPr>
                <w:b/>
                <w:sz w:val="18"/>
                <w:szCs w:val="18"/>
              </w:rPr>
            </w:pPr>
          </w:p>
          <w:p w14:paraId="3B32B200">
            <w:pPr>
              <w:spacing w:line="360" w:lineRule="auto"/>
              <w:ind w:firstLine="360"/>
              <w:jc w:val="left"/>
              <w:rPr>
                <w:sz w:val="18"/>
                <w:szCs w:val="18"/>
              </w:rPr>
            </w:pPr>
            <w:r>
              <w:rPr>
                <w:rFonts w:hint="eastAsia"/>
                <w:sz w:val="18"/>
                <w:szCs w:val="18"/>
              </w:rPr>
              <w:t>日期：</w:t>
            </w:r>
          </w:p>
        </w:tc>
      </w:tr>
      <w:tr w14:paraId="6778F9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530C70EF">
            <w:pPr>
              <w:spacing w:line="360" w:lineRule="auto"/>
              <w:jc w:val="left"/>
              <w:rPr>
                <w:b/>
                <w:sz w:val="18"/>
                <w:szCs w:val="18"/>
              </w:rPr>
            </w:pPr>
            <w:r>
              <w:rPr>
                <w:rFonts w:hint="eastAsia"/>
                <w:b/>
                <w:sz w:val="18"/>
                <w:szCs w:val="18"/>
              </w:rPr>
              <w:t>机构投资者适用</w:t>
            </w:r>
          </w:p>
        </w:tc>
        <w:tc>
          <w:tcPr>
            <w:tcW w:w="7371" w:type="dxa"/>
          </w:tcPr>
          <w:p w14:paraId="4442A171">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019724CE">
            <w:pPr>
              <w:spacing w:line="360" w:lineRule="auto"/>
              <w:ind w:firstLine="360"/>
              <w:jc w:val="left"/>
              <w:rPr>
                <w:rFonts w:cs="Arial"/>
                <w:sz w:val="18"/>
                <w:szCs w:val="18"/>
              </w:rPr>
            </w:pPr>
          </w:p>
          <w:p w14:paraId="55DA7CA9">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0AE15155">
            <w:pPr>
              <w:spacing w:line="360" w:lineRule="auto"/>
              <w:ind w:firstLine="360"/>
              <w:jc w:val="left"/>
              <w:rPr>
                <w:sz w:val="18"/>
                <w:szCs w:val="18"/>
              </w:rPr>
            </w:pPr>
            <w:r>
              <w:rPr>
                <w:rFonts w:hint="eastAsia"/>
                <w:sz w:val="18"/>
                <w:szCs w:val="18"/>
              </w:rPr>
              <w:t>日期：</w:t>
            </w:r>
          </w:p>
        </w:tc>
      </w:tr>
    </w:tbl>
    <w:p w14:paraId="2920D809">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14:paraId="612FF833">
      <w:pPr>
        <w:spacing w:line="360" w:lineRule="auto"/>
        <w:ind w:firstLine="360" w:firstLineChars="200"/>
        <w:rPr>
          <w:rFonts w:ascii="宋体" w:hAnsi="宋体"/>
          <w:sz w:val="18"/>
          <w:szCs w:val="18"/>
        </w:rPr>
      </w:pPr>
    </w:p>
    <w:p w14:paraId="6B9D02A2">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3CFF46D2">
        <w:pPr>
          <w:pStyle w:val="14"/>
          <w:jc w:val="center"/>
        </w:pPr>
        <w:r>
          <w:fldChar w:fldCharType="begin"/>
        </w:r>
        <w:r>
          <w:instrText xml:space="preserve"> PAGE   \* MERGEFORMAT </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26478">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257F2B02">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679F6689">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abstractNum w:abstractNumId="1">
    <w:nsid w:val="45138531"/>
    <w:multiLevelType w:val="singleLevel"/>
    <w:tmpl w:val="4513853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dit="readOnly" w:enforcement="1" w:cryptProviderType="rsaFull" w:cryptAlgorithmClass="hash" w:cryptAlgorithmType="typeAny" w:cryptAlgorithmSid="4" w:cryptSpinCount="0" w:hash="zHyHhDlQdps2D1uFd01tqdC57W0=" w:salt="d4fgmhV8fsu0r0TCfQgx8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86DD4"/>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568B"/>
    <w:rsid w:val="000B6819"/>
    <w:rsid w:val="000B7F67"/>
    <w:rsid w:val="000C31AC"/>
    <w:rsid w:val="000C3B81"/>
    <w:rsid w:val="000C69CB"/>
    <w:rsid w:val="000C6BF4"/>
    <w:rsid w:val="000C7C96"/>
    <w:rsid w:val="000D0C3A"/>
    <w:rsid w:val="000D10B1"/>
    <w:rsid w:val="000D1473"/>
    <w:rsid w:val="000D19CF"/>
    <w:rsid w:val="000D1AD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3FEF"/>
    <w:rsid w:val="0012639A"/>
    <w:rsid w:val="00127FAE"/>
    <w:rsid w:val="00132300"/>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D7E99"/>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215"/>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0F0F"/>
    <w:rsid w:val="0031156D"/>
    <w:rsid w:val="003122D5"/>
    <w:rsid w:val="00313E1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0A9"/>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4D2B"/>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3C6"/>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0E82"/>
    <w:rsid w:val="00583DB2"/>
    <w:rsid w:val="00583FFD"/>
    <w:rsid w:val="0058644F"/>
    <w:rsid w:val="00586B5E"/>
    <w:rsid w:val="0058793F"/>
    <w:rsid w:val="00587E86"/>
    <w:rsid w:val="005905CC"/>
    <w:rsid w:val="0059345F"/>
    <w:rsid w:val="005942B5"/>
    <w:rsid w:val="005964FC"/>
    <w:rsid w:val="00596640"/>
    <w:rsid w:val="005A0BAF"/>
    <w:rsid w:val="005A0CDE"/>
    <w:rsid w:val="005A1A2E"/>
    <w:rsid w:val="005A2814"/>
    <w:rsid w:val="005A2F58"/>
    <w:rsid w:val="005A52CE"/>
    <w:rsid w:val="005A5694"/>
    <w:rsid w:val="005A60A3"/>
    <w:rsid w:val="005B0326"/>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441"/>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420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920"/>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6315"/>
    <w:rsid w:val="009B6C73"/>
    <w:rsid w:val="009C36E0"/>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67E"/>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30C"/>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5D2"/>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03D1"/>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C29"/>
    <w:rsid w:val="00EF30E2"/>
    <w:rsid w:val="00EF3119"/>
    <w:rsid w:val="00EF3282"/>
    <w:rsid w:val="00EF6C64"/>
    <w:rsid w:val="00F002AB"/>
    <w:rsid w:val="00F00DD1"/>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DC"/>
    <w:rsid w:val="00FE225D"/>
    <w:rsid w:val="00FE4989"/>
    <w:rsid w:val="00FE5C3E"/>
    <w:rsid w:val="00FF0A2F"/>
    <w:rsid w:val="00FF1B04"/>
    <w:rsid w:val="00FF22F8"/>
    <w:rsid w:val="01533290"/>
    <w:rsid w:val="01654C82"/>
    <w:rsid w:val="020A6A96"/>
    <w:rsid w:val="02417F3D"/>
    <w:rsid w:val="024A6F28"/>
    <w:rsid w:val="0356786B"/>
    <w:rsid w:val="046E31C1"/>
    <w:rsid w:val="056C4F65"/>
    <w:rsid w:val="06F4696E"/>
    <w:rsid w:val="07245E56"/>
    <w:rsid w:val="09FB7353"/>
    <w:rsid w:val="0B2A6611"/>
    <w:rsid w:val="0C023D8C"/>
    <w:rsid w:val="0C225D7B"/>
    <w:rsid w:val="0D544AD8"/>
    <w:rsid w:val="0E9022D3"/>
    <w:rsid w:val="0E94232E"/>
    <w:rsid w:val="0EDE05BD"/>
    <w:rsid w:val="0EDE66F3"/>
    <w:rsid w:val="0F025487"/>
    <w:rsid w:val="0F1306D5"/>
    <w:rsid w:val="0FE43ED3"/>
    <w:rsid w:val="10365F82"/>
    <w:rsid w:val="1084403F"/>
    <w:rsid w:val="10AB63B0"/>
    <w:rsid w:val="11295396"/>
    <w:rsid w:val="14740EE4"/>
    <w:rsid w:val="163204AC"/>
    <w:rsid w:val="163E2FB7"/>
    <w:rsid w:val="17101A9E"/>
    <w:rsid w:val="17622796"/>
    <w:rsid w:val="17925B3D"/>
    <w:rsid w:val="19F32D28"/>
    <w:rsid w:val="1A48157B"/>
    <w:rsid w:val="1AAA799F"/>
    <w:rsid w:val="1B9930ED"/>
    <w:rsid w:val="1BAC7095"/>
    <w:rsid w:val="1BD70953"/>
    <w:rsid w:val="1BF87698"/>
    <w:rsid w:val="1CC664BB"/>
    <w:rsid w:val="1D304574"/>
    <w:rsid w:val="1D4C7D7F"/>
    <w:rsid w:val="1E585AB7"/>
    <w:rsid w:val="1EB160C2"/>
    <w:rsid w:val="1FF145B9"/>
    <w:rsid w:val="206B1AA3"/>
    <w:rsid w:val="2193546F"/>
    <w:rsid w:val="26F50BA9"/>
    <w:rsid w:val="27BD5E26"/>
    <w:rsid w:val="285E4249"/>
    <w:rsid w:val="28991572"/>
    <w:rsid w:val="29026D00"/>
    <w:rsid w:val="2AF13C2E"/>
    <w:rsid w:val="2C1C6772"/>
    <w:rsid w:val="2EA421B8"/>
    <w:rsid w:val="2EA644DF"/>
    <w:rsid w:val="2EFA4D05"/>
    <w:rsid w:val="2FB532A0"/>
    <w:rsid w:val="3035346F"/>
    <w:rsid w:val="319C4BEA"/>
    <w:rsid w:val="34663B5D"/>
    <w:rsid w:val="34C829B2"/>
    <w:rsid w:val="35381804"/>
    <w:rsid w:val="36146FAD"/>
    <w:rsid w:val="386A3F56"/>
    <w:rsid w:val="3A810EF7"/>
    <w:rsid w:val="3A842191"/>
    <w:rsid w:val="3ACF0F3F"/>
    <w:rsid w:val="3B39051F"/>
    <w:rsid w:val="3B7626CB"/>
    <w:rsid w:val="3C3802E9"/>
    <w:rsid w:val="3E586AB8"/>
    <w:rsid w:val="3E5C1B1D"/>
    <w:rsid w:val="3EAE14E9"/>
    <w:rsid w:val="3F6817A6"/>
    <w:rsid w:val="3FD261A6"/>
    <w:rsid w:val="404624C6"/>
    <w:rsid w:val="4160422A"/>
    <w:rsid w:val="41F15766"/>
    <w:rsid w:val="42C91CC0"/>
    <w:rsid w:val="42EB2F9C"/>
    <w:rsid w:val="42F736A3"/>
    <w:rsid w:val="439D563D"/>
    <w:rsid w:val="43EB5452"/>
    <w:rsid w:val="443C724B"/>
    <w:rsid w:val="45226963"/>
    <w:rsid w:val="46640412"/>
    <w:rsid w:val="479A6CA5"/>
    <w:rsid w:val="4AC74FEB"/>
    <w:rsid w:val="4AD06887"/>
    <w:rsid w:val="4C354C02"/>
    <w:rsid w:val="4D39606F"/>
    <w:rsid w:val="4DFF2136"/>
    <w:rsid w:val="4EB642FA"/>
    <w:rsid w:val="4F8E3D4D"/>
    <w:rsid w:val="5171747E"/>
    <w:rsid w:val="53063B85"/>
    <w:rsid w:val="533C1961"/>
    <w:rsid w:val="53B3493A"/>
    <w:rsid w:val="53EE2EEC"/>
    <w:rsid w:val="5537323C"/>
    <w:rsid w:val="55855837"/>
    <w:rsid w:val="55E83741"/>
    <w:rsid w:val="56503211"/>
    <w:rsid w:val="56E3104F"/>
    <w:rsid w:val="580710CE"/>
    <w:rsid w:val="58980021"/>
    <w:rsid w:val="598B567E"/>
    <w:rsid w:val="5B0F14EE"/>
    <w:rsid w:val="5B842029"/>
    <w:rsid w:val="5BA35A94"/>
    <w:rsid w:val="5C316162"/>
    <w:rsid w:val="5C624734"/>
    <w:rsid w:val="5D861AFB"/>
    <w:rsid w:val="5FE91ABC"/>
    <w:rsid w:val="628E734C"/>
    <w:rsid w:val="62BD3A82"/>
    <w:rsid w:val="6580603B"/>
    <w:rsid w:val="66A34D18"/>
    <w:rsid w:val="682A44E1"/>
    <w:rsid w:val="68C7223A"/>
    <w:rsid w:val="68EF6886"/>
    <w:rsid w:val="6919231C"/>
    <w:rsid w:val="69A35D30"/>
    <w:rsid w:val="6A8739CF"/>
    <w:rsid w:val="6C2B2E22"/>
    <w:rsid w:val="6CE31D99"/>
    <w:rsid w:val="6EAA7DFD"/>
    <w:rsid w:val="6F171BED"/>
    <w:rsid w:val="6F315DAE"/>
    <w:rsid w:val="6FDD1093"/>
    <w:rsid w:val="709C0126"/>
    <w:rsid w:val="73854316"/>
    <w:rsid w:val="73D736B7"/>
    <w:rsid w:val="76022652"/>
    <w:rsid w:val="768501BE"/>
    <w:rsid w:val="76C8601E"/>
    <w:rsid w:val="770C74D3"/>
    <w:rsid w:val="77150144"/>
    <w:rsid w:val="790B7858"/>
    <w:rsid w:val="79356659"/>
    <w:rsid w:val="7AC82DE4"/>
    <w:rsid w:val="7B704A3F"/>
    <w:rsid w:val="7BEA1CFE"/>
    <w:rsid w:val="7D803772"/>
    <w:rsid w:val="7D80556D"/>
    <w:rsid w:val="7D837716"/>
    <w:rsid w:val="7E1826CF"/>
    <w:rsid w:val="7E3713F1"/>
    <w:rsid w:val="7ED86E63"/>
    <w:rsid w:val="7F335F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3.xml" Type="http://schemas.openxmlformats.org/officeDocument/2006/relationships/customXml"/><Relationship Id="rId11" Target="../customXml/item4.xml" Type="http://schemas.openxmlformats.org/officeDocument/2006/relationships/customXml"/><Relationship Id="rId12" Target="../customXml/item5.xml" Type="http://schemas.openxmlformats.org/officeDocument/2006/relationships/customXml"/><Relationship Id="rId13" Target="../customXml/item6.xml" Type="http://schemas.openxmlformats.org/officeDocument/2006/relationships/customXml"/><Relationship Id="rId14" Target="../customXml/item7.xml" Type="http://schemas.openxmlformats.org/officeDocument/2006/relationships/customXml"/><Relationship Id="rId15" Target="../customXml/item8.xml" Type="http://schemas.openxmlformats.org/officeDocument/2006/relationships/customXml"/><Relationship Id="rId16" Target="../customXml/item9.xml" Type="http://schemas.openxmlformats.org/officeDocument/2006/relationships/customXml"/><Relationship Id="rId17" Target="../customXml/item10.xml" Type="http://schemas.openxmlformats.org/officeDocument/2006/relationships/customXml"/><Relationship Id="rId18" Target="../customXml/item11.xml" Type="http://schemas.openxmlformats.org/officeDocument/2006/relationships/customXml"/><Relationship Id="rId19" Target="../customXml/item12.xml" Type="http://schemas.openxmlformats.org/officeDocument/2006/relationships/customXml"/><Relationship Id="rId2" Target="settings.xml" Type="http://schemas.openxmlformats.org/officeDocument/2006/relationships/settings"/><Relationship Id="rId20" Target="../customXml/item13.xml" Type="http://schemas.openxmlformats.org/officeDocument/2006/relationships/customXml"/><Relationship Id="rId21" Target="../customXml/item14.xml" Type="http://schemas.openxmlformats.org/officeDocument/2006/relationships/customXml"/><Relationship Id="rId22" Target="../customXml/item15.xml" Type="http://schemas.openxmlformats.org/officeDocument/2006/relationships/customXml"/><Relationship Id="rId23" Target="../customXml/item16.xml" Type="http://schemas.openxmlformats.org/officeDocument/2006/relationships/customXml"/><Relationship Id="rId24" Target="../customXml/item17.xml" Type="http://schemas.openxmlformats.org/officeDocument/2006/relationships/customXml"/><Relationship Id="rId25" Target="fontTable.xml" Type="http://schemas.openxmlformats.org/officeDocument/2006/relationships/fontTable"/><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media/image1.jpeg" Type="http://schemas.openxmlformats.org/officeDocument/2006/relationships/image"/><Relationship Id="rId7" Target="numbering.xml" Type="http://schemas.openxmlformats.org/officeDocument/2006/relationships/numbering"/><Relationship Id="rId8" Target="../customXml/item1.xml" Type="http://schemas.openxmlformats.org/officeDocument/2006/relationships/customXml"/><Relationship Id="rId9" Target="../customXml/item2.xml" Type="http://schemas.openxmlformats.org/officeDocument/2006/relationships/custom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_rels/item10.xml.rels><?xml version="1.0" encoding="UTF-8" standalone="no"?><Relationships xmlns="http://schemas.openxmlformats.org/package/2006/relationships"><Relationship Id="rId1" Target="itemProps10.xml" Type="http://schemas.openxmlformats.org/officeDocument/2006/relationships/customXmlProps"/></Relationships>
</file>

<file path=customXml/_rels/item11.xml.rels><?xml version="1.0" encoding="UTF-8" standalone="no"?><Relationships xmlns="http://schemas.openxmlformats.org/package/2006/relationships"><Relationship Id="rId1" Target="itemProps11.xml" Type="http://schemas.openxmlformats.org/officeDocument/2006/relationships/customXmlProps"/></Relationships>
</file>

<file path=customXml/_rels/item12.xml.rels><?xml version="1.0" encoding="UTF-8" standalone="no"?><Relationships xmlns="http://schemas.openxmlformats.org/package/2006/relationships"><Relationship Id="rId1" Target="itemProps12.xml" Type="http://schemas.openxmlformats.org/officeDocument/2006/relationships/customXmlProps"/></Relationships>
</file>

<file path=customXml/_rels/item13.xml.rels><?xml version="1.0" encoding="UTF-8" standalone="no"?><Relationships xmlns="http://schemas.openxmlformats.org/package/2006/relationships"><Relationship Id="rId1" Target="itemProps13.xml" Type="http://schemas.openxmlformats.org/officeDocument/2006/relationships/customXmlProps"/></Relationships>
</file>

<file path=customXml/_rels/item14.xml.rels><?xml version="1.0" encoding="UTF-8" standalone="no"?><Relationships xmlns="http://schemas.openxmlformats.org/package/2006/relationships"><Relationship Id="rId1" Target="itemProps14.xml" Type="http://schemas.openxmlformats.org/officeDocument/2006/relationships/customXmlProps"/></Relationships>
</file>

<file path=customXml/_rels/item15.xml.rels><?xml version="1.0" encoding="UTF-8" standalone="no"?><Relationships xmlns="http://schemas.openxmlformats.org/package/2006/relationships"><Relationship Id="rId1" Target="itemProps15.xml" Type="http://schemas.openxmlformats.org/officeDocument/2006/relationships/customXmlProps"/></Relationships>
</file>

<file path=customXml/_rels/item16.xml.rels><?xml version="1.0" encoding="UTF-8" standalone="no"?><Relationships xmlns="http://schemas.openxmlformats.org/package/2006/relationships"><Relationship Id="rId1" Target="itemProps16.xml" Type="http://schemas.openxmlformats.org/officeDocument/2006/relationships/customXmlProps"/></Relationships>
</file>

<file path=customXml/_rels/item17.xml.rels><?xml version="1.0" encoding="UTF-8" standalone="no"?><Relationships xmlns="http://schemas.openxmlformats.org/package/2006/relationships"><Relationship Id="rId1" Target="itemProps17.xml" Type="http://schemas.openxmlformats.org/officeDocument/2006/relationships/customXmlProps"/></Relationships>
</file>

<file path=customXml/_rels/item2.xml.rels><?xml version="1.0" encoding="UTF-8" standalone="no"?><Relationships xmlns="http://schemas.openxmlformats.org/package/2006/relationships"><Relationship Id="rId1" Target="itemProps2.xml" Type="http://schemas.openxmlformats.org/officeDocument/2006/relationships/customXmlProps"/></Relationships>
</file>

<file path=customXml/_rels/item3.xml.rels><?xml version="1.0" encoding="UTF-8" standalone="no"?><Relationships xmlns="http://schemas.openxmlformats.org/package/2006/relationships"><Relationship Id="rId1" Target="itemProps3.xml" Type="http://schemas.openxmlformats.org/officeDocument/2006/relationships/customXmlProps"/></Relationships>
</file>

<file path=customXml/_rels/item4.xml.rels><?xml version="1.0" encoding="UTF-8" standalone="no"?><Relationships xmlns="http://schemas.openxmlformats.org/package/2006/relationships"><Relationship Id="rId1" Target="itemProps4.xml" Type="http://schemas.openxmlformats.org/officeDocument/2006/relationships/customXmlProps"/></Relationships>
</file>

<file path=customXml/_rels/item5.xml.rels><?xml version="1.0" encoding="UTF-8" standalone="no"?><Relationships xmlns="http://schemas.openxmlformats.org/package/2006/relationships"><Relationship Id="rId1" Target="itemProps5.xml" Type="http://schemas.openxmlformats.org/officeDocument/2006/relationships/customXmlProps"/></Relationships>
</file>

<file path=customXml/_rels/item6.xml.rels><?xml version="1.0" encoding="UTF-8" standalone="no"?><Relationships xmlns="http://schemas.openxmlformats.org/package/2006/relationships"><Relationship Id="rId1" Target="itemProps6.xml" Type="http://schemas.openxmlformats.org/officeDocument/2006/relationships/customXmlProps"/></Relationships>
</file>

<file path=customXml/_rels/item7.xml.rels><?xml version="1.0" encoding="UTF-8" standalone="no"?><Relationships xmlns="http://schemas.openxmlformats.org/package/2006/relationships"><Relationship Id="rId1" Target="itemProps7.xml" Type="http://schemas.openxmlformats.org/officeDocument/2006/relationships/customXmlProps"/></Relationships>
</file>

<file path=customXml/_rels/item8.xml.rels><?xml version="1.0" encoding="UTF-8" standalone="no"?><Relationships xmlns="http://schemas.openxmlformats.org/package/2006/relationships"><Relationship Id="rId1" Target="itemProps8.xml" Type="http://schemas.openxmlformats.org/officeDocument/2006/relationships/customXmlProps"/></Relationships>
</file>

<file path=customXml/_rels/item9.xml.rels><?xml version="1.0" encoding="UTF-8" standalone="no"?><Relationships xmlns="http://schemas.openxmlformats.org/package/2006/relationships"><Relationship Id="rId1" Target="itemProps9.xml" Type="http://schemas.openxmlformats.org/officeDocument/2006/relationships/customXmlProps"/></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79B37214-9E52-4241-8DD2-9E9CD9442006}">
  <ds:schemaRefs/>
</ds:datastoreItem>
</file>

<file path=customXml/itemProps10.xml><?xml version="1.0" encoding="utf-8"?>
<ds:datastoreItem xmlns:ds="http://schemas.openxmlformats.org/officeDocument/2006/customXml" ds:itemID="{7E5C9D84-6DB6-48FB-8632-D5279FC233C8}">
  <ds:schemaRefs/>
</ds:datastoreItem>
</file>

<file path=customXml/itemProps11.xml><?xml version="1.0" encoding="utf-8"?>
<ds:datastoreItem xmlns:ds="http://schemas.openxmlformats.org/officeDocument/2006/customXml" ds:itemID="{4EA99EC7-8664-4F92-B310-E18C7B4EEA16}">
  <ds:schemaRefs/>
</ds:datastoreItem>
</file>

<file path=customXml/itemProps12.xml><?xml version="1.0" encoding="utf-8"?>
<ds:datastoreItem xmlns:ds="http://schemas.openxmlformats.org/officeDocument/2006/customXml" ds:itemID="{AC86F3EB-DB57-4B60-8A7E-BBB67A22EE0B}">
  <ds:schemaRefs/>
</ds:datastoreItem>
</file>

<file path=customXml/itemProps13.xml><?xml version="1.0" encoding="utf-8"?>
<ds:datastoreItem xmlns:ds="http://schemas.openxmlformats.org/officeDocument/2006/customXml" ds:itemID="{3A3C3A8D-C5E4-45AF-8B48-C3BF528808AD}">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E6D3D55C-3DD8-4C31-8069-E5508DD844FB}">
  <ds:schemaRefs/>
</ds:datastoreItem>
</file>

<file path=customXml/itemProps16.xml><?xml version="1.0" encoding="utf-8"?>
<ds:datastoreItem xmlns:ds="http://schemas.openxmlformats.org/officeDocument/2006/customXml" ds:itemID="{9114D43D-ED98-4C7B-A3AE-26D78B80CA82}">
  <ds:schemaRefs/>
</ds:datastoreItem>
</file>

<file path=customXml/itemProps17.xml><?xml version="1.0" encoding="utf-8"?>
<ds:datastoreItem xmlns:ds="http://schemas.openxmlformats.org/officeDocument/2006/customXml" ds:itemID="{0A7AA9EF-3B8C-4BAA-9155-A6E3E5337D3C}">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509BA638-9D3A-4AA3-A169-FF78BC0E4BE9}">
  <ds:schemaRefs/>
</ds:datastoreItem>
</file>

<file path=customXml/itemProps4.xml><?xml version="1.0" encoding="utf-8"?>
<ds:datastoreItem xmlns:ds="http://schemas.openxmlformats.org/officeDocument/2006/customXml" ds:itemID="{1990A2D8-324F-45D5-B9CD-07245ED2860B}">
  <ds:schemaRefs/>
</ds:datastoreItem>
</file>

<file path=customXml/itemProps5.xml><?xml version="1.0" encoding="utf-8"?>
<ds:datastoreItem xmlns:ds="http://schemas.openxmlformats.org/officeDocument/2006/customXml" ds:itemID="{BEEE0313-55EB-45FA-BBBD-C0232D367255}">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2108FF18-8EC8-4170-A536-1AA8E39CC797}">
  <ds:schemaRefs/>
</ds:datastoreItem>
</file>

<file path=customXml/itemProps8.xml><?xml version="1.0" encoding="utf-8"?>
<ds:datastoreItem xmlns:ds="http://schemas.openxmlformats.org/officeDocument/2006/customXml" ds:itemID="{1A3BDF38-4832-4575-A8AB-7A1679738229}">
  <ds:schemaRefs/>
</ds:datastoreItem>
</file>

<file path=customXml/itemProps9.xml><?xml version="1.0" encoding="utf-8"?>
<ds:datastoreItem xmlns:ds="http://schemas.openxmlformats.org/officeDocument/2006/customXml" ds:itemID="{D902962D-C8CC-43BF-804A-CD60AE6D747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38</Pages>
  <Words>4208</Words>
  <Characters>23986</Characters>
  <Lines>199</Lines>
  <Paragraphs>56</Paragraphs>
  <TotalTime>0</TotalTime>
  <ScaleCrop>false</ScaleCrop>
  <LinksUpToDate>false</LinksUpToDate>
  <CharactersWithSpaces>28138</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2021-09-06T06:01:00Z</dcterms:created>
  <dc:creator>张淼雯</dc:creator>
  <cp:lastModifiedBy>cib</cp:lastModifiedBy>
  <cp:lastPrinted>2022-01-18T08:37:00Z</cp:lastPrinted>
  <dcterms:modified xsi:type="dcterms:W3CDTF">2025-12-15T03:23:48Z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5466F5ED04264CD88390FDC4DDCA6BAE</vt:lpwstr>
  </property>
</Properties>
</file>