
<file path=[Content_Types].xml><?xml version="1.0" encoding="utf-8"?>
<Types xmlns="http://schemas.openxmlformats.org/package/2006/content-types">
  <Default ContentType="image/jpeg" Extension="jpeg"/>
  <Default ContentType="image/.jpg" Extension="jp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permStart w:id="0" w:edGrp="everyone"/>
      <w:r>
        <w:rPr>
          <w:rFonts w:hint="eastAsia" w:ascii="黑体" w:hAnsi="黑体" w:eastAsia="黑体"/>
          <w:b/>
          <w:sz w:val="44"/>
          <w:szCs w:val="44"/>
        </w:rPr>
        <w:t>兴银理财【</w:t>
      </w:r>
      <w:r>
        <w:rPr>
          <w:rFonts w:hint="eastAsia" w:ascii="黑体" w:hAnsi="黑体" w:eastAsia="黑体"/>
          <w:b/>
          <w:sz w:val="44"/>
          <w:szCs w:val="44"/>
          <w:lang w:val="en-US" w:eastAsia="zh-CN"/>
        </w:rPr>
        <w:t>稳利恒盈封闭式固收类</w:t>
      </w:r>
      <w:r>
        <w:rPr>
          <w:rFonts w:hint="eastAsia" w:ascii="黑体" w:hAnsi="黑体" w:eastAsia="黑体"/>
          <w:b/>
          <w:sz w:val="44"/>
          <w:szCs w:val="44"/>
        </w:rPr>
        <w:t>】理财产品</w:t>
      </w:r>
    </w:p>
    <w:permEnd w:id="0"/>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permStart w:id="1" w:edGrp="everyone"/>
            <w:r>
              <w:rPr>
                <w:rFonts w:hint="eastAsia" w:ascii="宋体" w:hAnsi="宋体"/>
                <w:kern w:val="0"/>
                <w:sz w:val="20"/>
                <w:szCs w:val="21"/>
              </w:rPr>
              <w:t>兴银理财【</w:t>
            </w:r>
            <w:r>
              <w:rPr>
                <w:rFonts w:hint="eastAsia" w:ascii="宋体" w:hAnsi="宋体"/>
                <w:kern w:val="0"/>
                <w:sz w:val="20"/>
                <w:szCs w:val="21"/>
                <w:lang w:val="en-US" w:eastAsia="zh-CN"/>
              </w:rPr>
              <w:t>稳利恒盈封闭式固收类</w:t>
            </w:r>
            <w:r>
              <w:rPr>
                <w:rFonts w:hint="eastAsia" w:ascii="宋体" w:hAnsi="宋体"/>
                <w:kern w:val="0"/>
                <w:sz w:val="20"/>
                <w:szCs w:val="21"/>
              </w:rPr>
              <w:t>】理财产品</w:t>
            </w:r>
            <w:permEnd w:id="1"/>
            <w:r>
              <w:rPr>
                <w:rFonts w:hint="eastAsia" w:ascii="宋体" w:hAnsi="宋体"/>
                <w:kern w:val="0"/>
                <w:sz w:val="20"/>
                <w:szCs w:val="21"/>
              </w:rPr>
              <w:t>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permStart w:id="2" w:edGrp="everyone"/>
            <w:r>
              <w:rPr>
                <w:rFonts w:hint="eastAsia" w:ascii="宋体" w:hAnsi="宋体"/>
                <w:kern w:val="0"/>
                <w:sz w:val="20"/>
                <w:szCs w:val="21"/>
              </w:rPr>
              <w:t>兴银理财【</w:t>
            </w:r>
            <w:r>
              <w:rPr>
                <w:rFonts w:hint="eastAsia" w:ascii="宋体" w:hAnsi="宋体"/>
                <w:kern w:val="0"/>
                <w:sz w:val="20"/>
                <w:szCs w:val="21"/>
                <w:lang w:val="en-US" w:eastAsia="zh-CN"/>
              </w:rPr>
              <w:t>稳利恒盈封闭式固收类</w:t>
            </w:r>
            <w:r>
              <w:rPr>
                <w:rFonts w:hint="eastAsia" w:ascii="宋体" w:hAnsi="宋体"/>
                <w:kern w:val="0"/>
                <w:sz w:val="20"/>
                <w:szCs w:val="21"/>
              </w:rPr>
              <w:t>】理财产品</w:t>
            </w:r>
            <w:permEnd w:id="2"/>
            <w:r>
              <w:rPr>
                <w:rFonts w:hint="eastAsia" w:ascii="宋体" w:hAnsi="宋体"/>
                <w:kern w:val="0"/>
                <w:sz w:val="20"/>
                <w:szCs w:val="21"/>
              </w:rPr>
              <w:t>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ascii="宋体" w:hAnsi="宋体"/>
                <w:kern w:val="0"/>
                <w:sz w:val="20"/>
                <w:szCs w:val="21"/>
              </w:rPr>
              <w:t>3</w:t>
            </w:r>
          </w:p>
        </w:tc>
        <w:tc>
          <w:tcPr>
            <w:tcW w:w="5689" w:type="dxa"/>
          </w:tcPr>
          <w:p>
            <w:pPr>
              <w:widowControl/>
              <w:spacing w:line="360" w:lineRule="auto"/>
              <w:rPr>
                <w:rFonts w:ascii="宋体" w:hAnsi="宋体"/>
                <w:kern w:val="0"/>
                <w:sz w:val="20"/>
                <w:szCs w:val="21"/>
              </w:rPr>
            </w:pPr>
            <w:permStart w:id="3" w:edGrp="everyone"/>
            <w:r>
              <w:rPr>
                <w:rFonts w:hint="eastAsia" w:ascii="宋体" w:hAnsi="宋体"/>
                <w:kern w:val="0"/>
                <w:sz w:val="20"/>
                <w:szCs w:val="21"/>
              </w:rPr>
              <w:t>兴银理财【</w:t>
            </w:r>
            <w:r>
              <w:rPr>
                <w:rFonts w:hint="eastAsia" w:ascii="宋体" w:hAnsi="宋体"/>
                <w:kern w:val="0"/>
                <w:sz w:val="20"/>
                <w:szCs w:val="21"/>
                <w:lang w:val="en-US" w:eastAsia="zh-CN"/>
              </w:rPr>
              <w:t>稳利恒盈封闭式固收类</w:t>
            </w:r>
            <w:r>
              <w:rPr>
                <w:rFonts w:hint="eastAsia" w:ascii="宋体" w:hAnsi="宋体"/>
                <w:kern w:val="0"/>
                <w:sz w:val="20"/>
                <w:szCs w:val="21"/>
              </w:rPr>
              <w:t>】理财产品</w:t>
            </w:r>
            <w:permEnd w:id="3"/>
            <w:r>
              <w:rPr>
                <w:rFonts w:hint="eastAsia" w:ascii="宋体" w:hAnsi="宋体"/>
                <w:kern w:val="0"/>
                <w:sz w:val="20"/>
                <w:szCs w:val="21"/>
              </w:rPr>
              <w:t>（代理）销售协议书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permStart w:id="4" w:edGrp="everyone"/>
            <w:r>
              <w:rPr>
                <w:rFonts w:hint="eastAsia" w:ascii="宋体" w:hAnsi="宋体"/>
                <w:kern w:val="0"/>
                <w:sz w:val="20"/>
                <w:szCs w:val="21"/>
              </w:rPr>
              <w:t>兴银理财【</w:t>
            </w:r>
            <w:r>
              <w:rPr>
                <w:rFonts w:hint="eastAsia" w:ascii="宋体" w:hAnsi="宋体"/>
                <w:kern w:val="0"/>
                <w:sz w:val="20"/>
                <w:szCs w:val="21"/>
                <w:lang w:val="en-US" w:eastAsia="zh-CN"/>
              </w:rPr>
              <w:t>稳利恒盈封闭式固收类</w:t>
            </w:r>
            <w:r>
              <w:rPr>
                <w:rFonts w:hint="eastAsia" w:ascii="宋体" w:hAnsi="宋体"/>
                <w:kern w:val="0"/>
                <w:sz w:val="20"/>
                <w:szCs w:val="21"/>
              </w:rPr>
              <w:t>】理财产品</w:t>
            </w:r>
            <w:permEnd w:id="4"/>
            <w:r>
              <w:rPr>
                <w:rFonts w:hint="eastAsia" w:ascii="宋体" w:hAnsi="宋体"/>
                <w:kern w:val="0"/>
                <w:sz w:val="20"/>
                <w:szCs w:val="21"/>
              </w:rPr>
              <w:t>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permStart w:id="5" w:edGrp="everyone"/>
            <w:r>
              <w:rPr>
                <w:rFonts w:hint="eastAsia" w:ascii="宋体" w:hAnsi="宋体"/>
                <w:kern w:val="0"/>
                <w:sz w:val="20"/>
                <w:szCs w:val="21"/>
              </w:rPr>
              <w:t>兴银理财【</w:t>
            </w:r>
            <w:r>
              <w:rPr>
                <w:rFonts w:hint="eastAsia" w:ascii="宋体" w:hAnsi="宋体"/>
                <w:kern w:val="0"/>
                <w:sz w:val="20"/>
                <w:szCs w:val="21"/>
                <w:lang w:val="en-US" w:eastAsia="zh-CN"/>
              </w:rPr>
              <w:t>稳利恒盈封闭式固收类</w:t>
            </w:r>
            <w:r>
              <w:rPr>
                <w:rFonts w:hint="eastAsia" w:ascii="宋体" w:hAnsi="宋体"/>
                <w:kern w:val="0"/>
                <w:sz w:val="20"/>
                <w:szCs w:val="21"/>
              </w:rPr>
              <w:t>】理财产品</w:t>
            </w:r>
            <w:permEnd w:id="5"/>
            <w:r>
              <w:rPr>
                <w:rFonts w:hint="eastAsia" w:ascii="宋体" w:hAnsi="宋体"/>
                <w:kern w:val="0"/>
                <w:sz w:val="20"/>
                <w:szCs w:val="21"/>
              </w:rPr>
              <w:t>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银保监会令2021年第4号）第29条规定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permStart w:id="6" w:edGrp="everyone"/>
      <w:r>
        <w:rPr>
          <w:rStyle w:val="27"/>
          <w:rFonts w:hint="eastAsia" w:ascii="黑体" w:hAnsi="黑体" w:eastAsia="黑体" w:cs="宋体"/>
          <w:sz w:val="44"/>
          <w:szCs w:val="44"/>
        </w:rPr>
        <w:t>兴银理财【</w:t>
      </w:r>
      <w:r>
        <w:rPr>
          <w:rStyle w:val="27"/>
          <w:rFonts w:hint="eastAsia" w:ascii="黑体" w:hAnsi="黑体" w:eastAsia="黑体" w:cs="宋体"/>
          <w:sz w:val="44"/>
          <w:szCs w:val="44"/>
          <w:lang w:val="en-US" w:eastAsia="zh-CN"/>
        </w:rPr>
        <w:t>稳利恒盈封闭式固收类</w:t>
      </w:r>
      <w:r>
        <w:rPr>
          <w:rStyle w:val="27"/>
          <w:rFonts w:hint="eastAsia" w:ascii="黑体" w:hAnsi="黑体" w:eastAsia="黑体" w:cs="宋体"/>
          <w:sz w:val="44"/>
          <w:szCs w:val="44"/>
        </w:rPr>
        <w:t>】理财产品</w:t>
      </w:r>
      <w:permEnd w:id="6"/>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39991726"/>
      <w:bookmarkStart w:id="2" w:name="_Toc139992301"/>
      <w:bookmarkStart w:id="3" w:name="_Toc123112224"/>
      <w:bookmarkStart w:id="4" w:name="_Toc12370138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64"/>
      <w:bookmarkStart w:id="6" w:name="_Toc139992302"/>
      <w:bookmarkStart w:id="7" w:name="_Toc139991727"/>
      <w:bookmarkStart w:id="8" w:name="_Toc123112225"/>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【2026】年【1】月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w:t>
            </w:r>
            <w:r>
              <w:rPr>
                <w:rFonts w:ascii="黑体" w:hAnsi="黑体" w:eastAsia="黑体"/>
                <w:bCs/>
                <w:sz w:val="18"/>
                <w:szCs w:val="18"/>
              </w:rPr>
              <w:t>收益</w:t>
            </w:r>
            <w:r>
              <w:rPr>
                <w:rFonts w:hint="eastAsia" w:ascii="黑体" w:hAnsi="黑体" w:eastAsia="黑体"/>
                <w:bCs/>
                <w:sz w:val="18"/>
                <w:szCs w:val="18"/>
              </w:rPr>
              <w:t>，投资须谨慎。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银保监会令2021年第4号）第29条规定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1）情形1：所有销售文件都由产品管理人统一编制。其中，《投资协议书</w:t>
            </w:r>
            <w:r>
              <w:rPr>
                <w:rFonts w:hint="eastAsia" w:ascii="黑体" w:hAnsi="黑体" w:eastAsia="黑体"/>
                <w:bCs/>
                <w:sz w:val="18"/>
                <w:szCs w:val="18"/>
              </w:rPr>
              <w:t>》《产品说明书》《（代理）销售协议书》《风险揭示书》《投资者权益须知》等销售文件均由产品管理人统一编制。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2）情形2：部分销售文件由代理销售机构进行编制。其中，《投资协议书》和《产品说明书》由产品管理人统一编制；《（代理）销售协议书</w:t>
            </w:r>
            <w:r>
              <w:rPr>
                <w:rFonts w:hint="eastAsia" w:ascii="黑体" w:hAnsi="黑体" w:eastAsia="黑体"/>
                <w:bCs/>
                <w:sz w:val="18"/>
                <w:szCs w:val="18"/>
              </w:rPr>
              <w:t>》《风险揭示书》《投资者权益须知》等销售文件，此等销售文件中的之一或之二或全部，由于代理销售机构的需求而由理财公司委托代理销售机构进行编制。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投资者同意并授权产品管理人有权根据业务办理需要、反洗钱、反欺诈工作、非居民金融账户涉税信息尽职调查、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39991729"/>
      <w:bookmarkStart w:id="12" w:name="_Toc123701386"/>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w:t>
            </w:r>
            <w:r>
              <w:rPr>
                <w:rFonts w:hint="eastAsia" w:ascii="宋体" w:hAnsi="宋体"/>
                <w:bCs/>
                <w:sz w:val="18"/>
                <w:szCs w:val="18"/>
                <w:lang w:eastAsia="zh-CN"/>
              </w:rPr>
              <w:t>是</w:t>
            </w:r>
            <w:r>
              <w:rPr>
                <w:rFonts w:hint="eastAsia" w:ascii="宋体" w:hAnsi="宋体"/>
                <w:bCs/>
                <w:sz w:val="18"/>
                <w:szCs w:val="18"/>
              </w:rPr>
              <w:t>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w:t>
            </w:r>
            <w:r>
              <w:rPr>
                <w:rFonts w:ascii="宋体" w:hAnsi="宋体"/>
                <w:bCs/>
                <w:sz w:val="18"/>
                <w:szCs w:val="18"/>
              </w:rPr>
              <w:t>注册地为福建省福州市。</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4" w:edGrp="everyone"/>
            <w:bookmarkStart w:id="66" w:name="_GoBack"/>
            <w:bookmarkEnd w:id="66"/>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permStart w:id="26" w:edGrp="everyone"/>
          <w:r>
            <w:rPr>
              <w:rFonts w:hint="eastAsia"/>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ermEnd w:id="26"/>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32639"/>
      <w:bookmarkStart w:id="15" w:name="_Toc29629"/>
      <w:bookmarkStart w:id="16" w:name="_Toc141703880"/>
      <w:bookmarkStart w:id="17" w:name="_Toc30935"/>
      <w:bookmarkStart w:id="18" w:name="_Toc23386"/>
      <w:bookmarkStart w:id="19" w:name="_Toc4867"/>
      <w:bookmarkStart w:id="20" w:name="_Toc139991730"/>
      <w:bookmarkStart w:id="21" w:name="_Toc4966"/>
      <w:bookmarkStart w:id="22" w:name="_Toc6306"/>
      <w:bookmarkStart w:id="23" w:name="_Toc123112268"/>
      <w:bookmarkStart w:id="24" w:name="_Toc8727"/>
      <w:bookmarkStart w:id="25" w:name="_Toc15517"/>
      <w:bookmarkStart w:id="26" w:name="_Toc26897"/>
      <w:bookmarkStart w:id="27" w:name="_Toc123112229"/>
      <w:bookmarkStart w:id="28" w:name="_Toc12370138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1301"/>
      <w:bookmarkStart w:id="33" w:name="_Toc6617"/>
      <w:bookmarkStart w:id="34" w:name="_Toc24860"/>
      <w:bookmarkStart w:id="35" w:name="_Toc22864"/>
      <w:bookmarkStart w:id="36" w:name="_Toc258829399"/>
      <w:bookmarkStart w:id="37" w:name="_Toc13020"/>
      <w:bookmarkStart w:id="38" w:name="_Toc3224"/>
      <w:bookmarkStart w:id="39" w:name="_Toc2465"/>
      <w:bookmarkStart w:id="40" w:name="_Toc19592"/>
      <w:bookmarkStart w:id="41" w:name="_Toc15067"/>
      <w:bookmarkStart w:id="42" w:name="_Toc819"/>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w:t>
      </w:r>
      <w:r>
        <w:rPr>
          <w:rFonts w:ascii="宋体" w:hAnsi="宋体"/>
          <w:sz w:val="18"/>
          <w:szCs w:val="18"/>
        </w:rPr>
        <w:t>2018年第6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w:t>
      </w:r>
      <w:r>
        <w:rPr>
          <w:rFonts w:ascii="宋体" w:hAnsi="宋体"/>
          <w:sz w:val="18"/>
          <w:szCs w:val="18"/>
        </w:rPr>
        <w:t>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hint="eastAsia" w:ascii="Times New Roman"/>
          <w:color w:val="auto"/>
          <w:sz w:val="30"/>
        </w:rPr>
        <w:t>第二条</w:t>
      </w:r>
      <w:r>
        <w:rPr>
          <w:rFonts w:ascii="Times New Roman"/>
          <w:color w:val="auto"/>
          <w:sz w:val="30"/>
        </w:rPr>
        <w:t xml:space="preserve">  </w:t>
      </w:r>
      <w:r>
        <w:rPr>
          <w:rFonts w:hint="eastAsia" w:ascii="Times New Roman"/>
          <w:color w:val="auto"/>
          <w:sz w:val="30"/>
        </w:rPr>
        <w:t>双方权利义务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投资者同意并授权产品管理人有权根据业务办理需要、反洗钱、反欺诈工作、非居民金融账户涉税信息尽职调查、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w:t>
      </w:r>
      <w:r>
        <w:rPr>
          <w:rFonts w:hint="eastAsia" w:ascii="宋体" w:hAnsi="宋体"/>
          <w:sz w:val="18"/>
          <w:szCs w:val="18"/>
          <w:lang w:val="en-US" w:eastAsia="zh-CN"/>
        </w:rPr>
        <w:t>欺诈、</w:t>
      </w:r>
      <w:r>
        <w:rPr>
          <w:rFonts w:hint="eastAsia" w:ascii="宋体" w:hAnsi="宋体"/>
          <w:sz w:val="18"/>
          <w:szCs w:val="18"/>
        </w:rPr>
        <w:t>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3.产品管理人应按照约定披露产品相关信息。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w:t>
      </w:r>
      <w:r>
        <w:rPr>
          <w:rFonts w:ascii="黑体" w:hAnsi="黑体" w:eastAsia="黑体"/>
          <w:sz w:val="18"/>
          <w:szCs w:val="18"/>
        </w:rPr>
        <w:t>CA认证服务、可信时间</w:t>
      </w:r>
      <w:r>
        <w:rPr>
          <w:rFonts w:hint="eastAsia" w:ascii="黑体" w:hAnsi="黑体" w:eastAsia="黑体"/>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w:t>
      </w:r>
      <w:r>
        <w:rPr>
          <w:rFonts w:hint="eastAsia" w:ascii="宋体" w:hAnsi="宋体"/>
          <w:sz w:val="18"/>
          <w:szCs w:val="18"/>
          <w:lang w:val="en-US" w:eastAsia="zh-CN"/>
        </w:rPr>
        <w:t>欺诈、</w:t>
      </w:r>
      <w:r>
        <w:rPr>
          <w:rFonts w:hint="eastAsia" w:ascii="宋体" w:hAnsi="宋体"/>
          <w:sz w:val="18"/>
          <w:szCs w:val="18"/>
        </w:rPr>
        <w:t>恐怖融资、逃税等嫌疑</w:t>
      </w:r>
      <w:r>
        <w:rPr>
          <w:rFonts w:ascii="宋体" w:hAnsi="宋体"/>
          <w:sz w:val="18"/>
          <w:szCs w:val="18"/>
        </w:rPr>
        <w:t>,</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6149"/>
      <w:bookmarkStart w:id="48" w:name="_Toc13288"/>
      <w:bookmarkStart w:id="49" w:name="_Toc24571"/>
      <w:bookmarkStart w:id="50" w:name="_Toc545"/>
      <w:bookmarkStart w:id="51" w:name="_Toc733"/>
      <w:bookmarkStart w:id="52" w:name="_Toc20627"/>
      <w:bookmarkStart w:id="53" w:name="_Toc22708"/>
      <w:bookmarkStart w:id="54" w:name="_Toc18631"/>
      <w:bookmarkStart w:id="55" w:name="_Toc6683"/>
      <w:bookmarkStart w:id="56" w:name="_Toc20318"/>
      <w:bookmarkStart w:id="57" w:name="_Toc74065740"/>
      <w:bookmarkStart w:id="58" w:name="_Toc233456272"/>
      <w:bookmarkStart w:id="59" w:name="_Toc258829400"/>
      <w:r>
        <w:rPr>
          <w:rFonts w:hint="eastAsia" w:ascii="Times New Roman"/>
          <w:color w:val="auto"/>
          <w:sz w:val="30"/>
        </w:rPr>
        <w:t>第三条</w:t>
      </w:r>
      <w:r>
        <w:rPr>
          <w:rFonts w:ascii="Times New Roman"/>
          <w:color w:val="auto"/>
          <w:sz w:val="30"/>
        </w:rPr>
        <w:t xml:space="preserve">  </w:t>
      </w:r>
      <w:r>
        <w:rPr>
          <w:rFonts w:hint="eastAsia" w:ascii="Times New Roman"/>
          <w:color w:val="auto"/>
          <w:sz w:val="30"/>
        </w:rPr>
        <w:t>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2.本协议书中涉及的相关到期日或</w:t>
      </w:r>
      <w:r>
        <w:rPr>
          <w:rFonts w:hint="eastAsia" w:ascii="宋体" w:hAnsi="宋体" w:cs="仿宋_GB2312"/>
          <w:kern w:val="0"/>
          <w:sz w:val="18"/>
          <w:szCs w:val="18"/>
        </w:rPr>
        <w:t>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w:t>
      </w:r>
      <w:r>
        <w:rPr>
          <w:rFonts w:hint="eastAsia" w:ascii="Times New Roman"/>
          <w:color w:val="auto"/>
          <w:sz w:val="30"/>
        </w:rPr>
        <w:t>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第六条</w:t>
      </w:r>
      <w:r>
        <w:rPr>
          <w:rFonts w:ascii="Times New Roman"/>
          <w:color w:val="auto"/>
          <w:sz w:val="30"/>
        </w:rPr>
        <w:t xml:space="preserve">  </w:t>
      </w:r>
      <w:r>
        <w:rPr>
          <w:rFonts w:hint="eastAsia" w:ascii="Times New Roman"/>
          <w:color w:val="auto"/>
          <w:sz w:val="30"/>
        </w:rPr>
        <w:t>协议的签署和效力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w:t>
      </w:r>
      <w:r>
        <w:rPr>
          <w:rFonts w:ascii="黑体" w:hAnsi="黑体" w:eastAsia="黑体"/>
          <w:sz w:val="18"/>
          <w:szCs w:val="18"/>
        </w:rPr>
        <w:t>签名/盖章后则为签署。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第七条</w:t>
      </w:r>
      <w:r>
        <w:rPr>
          <w:rFonts w:ascii="Times New Roman"/>
          <w:color w:val="auto"/>
          <w:sz w:val="30"/>
        </w:rPr>
        <w:t xml:space="preserve">  </w:t>
      </w:r>
      <w:r>
        <w:rPr>
          <w:rFonts w:hint="eastAsia" w:ascii="Times New Roman"/>
          <w:color w:val="auto"/>
          <w:sz w:val="30"/>
        </w:rPr>
        <w:t>消费者权益保护</w:t>
      </w:r>
      <w:bookmarkEnd w:id="63"/>
      <w:bookmarkEnd w:id="64"/>
      <w:r>
        <w:rPr>
          <w:rFonts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销售机构的联络方式，具体以《（代理）销售协议书》《投资者权益须知》等销售文件的内容为准。</w:t>
      </w:r>
      <w:r>
        <w:rPr>
          <w:rFonts w:ascii="黑体" w:hAnsi="黑体" w:eastAsia="黑体"/>
          <w:sz w:val="18"/>
          <w:szCs w:val="18"/>
        </w:rPr>
        <w:t xml:space="preserve">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7" w:edGrp="everyone"/>
            <w:r>
              <w:rPr>
                <w:rFonts w:hint="eastAsia" w:ascii="宋体" w:hAnsi="宋体" w:cs="宋体"/>
                <w:sz w:val="18"/>
                <w:szCs w:val="18"/>
              </w:rPr>
              <w:t>【】</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8" w:edGrp="everyone"/>
            <w:r>
              <w:rPr>
                <w:rFonts w:hint="eastAsia" w:ascii="宋体" w:hAnsi="宋体" w:cs="宋体"/>
                <w:sz w:val="18"/>
                <w:szCs w:val="18"/>
              </w:rPr>
              <w:t>【】类</w:t>
            </w:r>
            <w:r>
              <w:rPr>
                <w:rFonts w:ascii="宋体" w:hAnsi="宋体" w:cs="宋体"/>
                <w:sz w:val="18"/>
                <w:szCs w:val="18"/>
              </w:rPr>
              <w:t>份额</w:t>
            </w:r>
            <w:permEnd w:id="2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29"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hint="eastAsia" w:ascii="宋体" w:hAnsi="宋体"/>
                <w:bCs/>
                <w:sz w:val="18"/>
                <w:szCs w:val="18"/>
              </w:rPr>
              <w:t>。</w:t>
            </w:r>
          </w:p>
        </w:tc>
      </w:tr>
      <w:permEnd w:id="3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1"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hint="eastAsia" w:ascii="宋体" w:hAnsi="宋体"/>
                <w:bCs/>
                <w:sz w:val="18"/>
                <w:szCs w:val="18"/>
              </w:rPr>
              <w:t>赎回。</w:t>
            </w:r>
          </w:p>
        </w:tc>
      </w:tr>
      <w:permEnd w:id="3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permStart w:id="32" w:edGrp="everyone"/>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3.投资者已认真阅读并充分理解包括但不限于《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w:t>
            </w:r>
            <w:r>
              <w:rPr>
                <w:rFonts w:ascii="黑体" w:hAnsi="黑体" w:eastAsia="黑体"/>
                <w:sz w:val="18"/>
                <w:szCs w:val="18"/>
              </w:rPr>
              <w:t>/申购/赎回受上述协议约束。明确本理财产品作为资产管理产品应受到的法律法规及监管政策的规范与调整，同意接受本产品的投资方案、费率、认购/申购/赎回安排与上述文件所</w:t>
            </w:r>
            <w:r>
              <w:rPr>
                <w:rFonts w:hint="eastAsia" w:ascii="黑体" w:hAnsi="黑体" w:eastAsia="黑体"/>
                <w:sz w:val="18"/>
                <w:szCs w:val="18"/>
              </w:rPr>
              <w:t>做风险提示，愿意承担投资风险，现决定认购</w:t>
            </w:r>
            <w:r>
              <w:rPr>
                <w:rFonts w:ascii="黑体" w:hAnsi="黑体" w:eastAsia="黑体"/>
                <w:sz w:val="18"/>
                <w:szCs w:val="18"/>
              </w:rPr>
              <w:t>/申购/赎回，并授权产品管理人根据投资方案进行投资。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dit="readOnly" w:enforcement="1" w:cryptProviderType="rsaFull" w:cryptAlgorithmClass="hash" w:cryptAlgorithmType="typeAny" w:cryptAlgorithmSid="4" w:cryptSpinCount="0" w:hash="+zZXc6bWbroeypdml6w0AC1N2EE=" w:salt="73NDcfSqfBW/3etZgD/T8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419E"/>
    <w:rsid w:val="0002724F"/>
    <w:rsid w:val="00030239"/>
    <w:rsid w:val="00030F84"/>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51DF"/>
    <w:rsid w:val="000A51EE"/>
    <w:rsid w:val="000B0F5E"/>
    <w:rsid w:val="000B1095"/>
    <w:rsid w:val="000B687C"/>
    <w:rsid w:val="000B732C"/>
    <w:rsid w:val="000C2157"/>
    <w:rsid w:val="000C23C6"/>
    <w:rsid w:val="000C5F0B"/>
    <w:rsid w:val="000C66F8"/>
    <w:rsid w:val="000C6CA3"/>
    <w:rsid w:val="000D7C5B"/>
    <w:rsid w:val="000E2761"/>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279E4"/>
    <w:rsid w:val="00133EBD"/>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141C"/>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A7A96"/>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443C"/>
    <w:rsid w:val="00467615"/>
    <w:rsid w:val="004727C4"/>
    <w:rsid w:val="00477E43"/>
    <w:rsid w:val="00481A9B"/>
    <w:rsid w:val="00483EB5"/>
    <w:rsid w:val="004840AC"/>
    <w:rsid w:val="00484942"/>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260AB"/>
    <w:rsid w:val="00630E80"/>
    <w:rsid w:val="006335F7"/>
    <w:rsid w:val="00640E2B"/>
    <w:rsid w:val="006445E5"/>
    <w:rsid w:val="00644D2A"/>
    <w:rsid w:val="00646391"/>
    <w:rsid w:val="006479E2"/>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673F1"/>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1E1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2BB4"/>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2745"/>
    <w:rsid w:val="008C41BB"/>
    <w:rsid w:val="008C4E5E"/>
    <w:rsid w:val="008C77FD"/>
    <w:rsid w:val="008D0202"/>
    <w:rsid w:val="008D0B1A"/>
    <w:rsid w:val="008D1177"/>
    <w:rsid w:val="008D387B"/>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56"/>
    <w:rsid w:val="0093239E"/>
    <w:rsid w:val="00933BBA"/>
    <w:rsid w:val="00933D38"/>
    <w:rsid w:val="00943A8C"/>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072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623"/>
    <w:rsid w:val="009F29D8"/>
    <w:rsid w:val="009F4C90"/>
    <w:rsid w:val="009F759C"/>
    <w:rsid w:val="009F7CF8"/>
    <w:rsid w:val="00A1018D"/>
    <w:rsid w:val="00A11CB0"/>
    <w:rsid w:val="00A16306"/>
    <w:rsid w:val="00A17171"/>
    <w:rsid w:val="00A21427"/>
    <w:rsid w:val="00A21A6C"/>
    <w:rsid w:val="00A229C4"/>
    <w:rsid w:val="00A25383"/>
    <w:rsid w:val="00A26C04"/>
    <w:rsid w:val="00A32435"/>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2E36"/>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0649"/>
    <w:rsid w:val="00B52FAD"/>
    <w:rsid w:val="00B54660"/>
    <w:rsid w:val="00B56276"/>
    <w:rsid w:val="00B606E5"/>
    <w:rsid w:val="00B606E6"/>
    <w:rsid w:val="00B61A35"/>
    <w:rsid w:val="00B67A2F"/>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2565"/>
    <w:rsid w:val="00BC32EB"/>
    <w:rsid w:val="00BC3900"/>
    <w:rsid w:val="00BC4611"/>
    <w:rsid w:val="00BC68AA"/>
    <w:rsid w:val="00BD020C"/>
    <w:rsid w:val="00BD0D17"/>
    <w:rsid w:val="00BD4663"/>
    <w:rsid w:val="00BD6425"/>
    <w:rsid w:val="00BF0849"/>
    <w:rsid w:val="00BF33D6"/>
    <w:rsid w:val="00BF3E98"/>
    <w:rsid w:val="00BF5971"/>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D4656"/>
    <w:rsid w:val="00CE04EA"/>
    <w:rsid w:val="00CE21A3"/>
    <w:rsid w:val="00CE3D7D"/>
    <w:rsid w:val="00CE5004"/>
    <w:rsid w:val="00CF07E7"/>
    <w:rsid w:val="00CF20EC"/>
    <w:rsid w:val="00D0110F"/>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5FE3"/>
    <w:rsid w:val="00D77ADC"/>
    <w:rsid w:val="00D77F0D"/>
    <w:rsid w:val="00D8308D"/>
    <w:rsid w:val="00D833EB"/>
    <w:rsid w:val="00D837CC"/>
    <w:rsid w:val="00D84062"/>
    <w:rsid w:val="00D85F63"/>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6F1"/>
    <w:rsid w:val="00E37E1A"/>
    <w:rsid w:val="00E40014"/>
    <w:rsid w:val="00E4276E"/>
    <w:rsid w:val="00E44D44"/>
    <w:rsid w:val="00E44FFE"/>
    <w:rsid w:val="00E50662"/>
    <w:rsid w:val="00E51C4F"/>
    <w:rsid w:val="00E54989"/>
    <w:rsid w:val="00E579C4"/>
    <w:rsid w:val="00E57E75"/>
    <w:rsid w:val="00E650D8"/>
    <w:rsid w:val="00E67AFF"/>
    <w:rsid w:val="00E7480F"/>
    <w:rsid w:val="00E753BD"/>
    <w:rsid w:val="00E774B6"/>
    <w:rsid w:val="00E83E00"/>
    <w:rsid w:val="00E85A1F"/>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6103"/>
    <w:rsid w:val="00F00C67"/>
    <w:rsid w:val="00F0469D"/>
    <w:rsid w:val="00F046EC"/>
    <w:rsid w:val="00F05739"/>
    <w:rsid w:val="00F0768A"/>
    <w:rsid w:val="00F07962"/>
    <w:rsid w:val="00F104F1"/>
    <w:rsid w:val="00F10F07"/>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2B97"/>
    <w:rsid w:val="00F55612"/>
    <w:rsid w:val="00F57D05"/>
    <w:rsid w:val="00F611C6"/>
    <w:rsid w:val="00F652FF"/>
    <w:rsid w:val="00F65A62"/>
    <w:rsid w:val="00F6638A"/>
    <w:rsid w:val="00F6673D"/>
    <w:rsid w:val="00F6765C"/>
    <w:rsid w:val="00F7607C"/>
    <w:rsid w:val="00F84ACA"/>
    <w:rsid w:val="00F865A9"/>
    <w:rsid w:val="00F8733E"/>
    <w:rsid w:val="00F913B7"/>
    <w:rsid w:val="00F91EA4"/>
    <w:rsid w:val="00F92464"/>
    <w:rsid w:val="00F92B2B"/>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5F13238"/>
    <w:rsid w:val="08F06232"/>
    <w:rsid w:val="149E474A"/>
    <w:rsid w:val="18D640E4"/>
    <w:rsid w:val="19212E29"/>
    <w:rsid w:val="316D3554"/>
    <w:rsid w:val="32A129D3"/>
    <w:rsid w:val="35C863A1"/>
    <w:rsid w:val="4069171A"/>
    <w:rsid w:val="40D66473"/>
    <w:rsid w:val="431859F2"/>
    <w:rsid w:val="46A67526"/>
    <w:rsid w:val="487A428F"/>
    <w:rsid w:val="4F1262D5"/>
    <w:rsid w:val="4F9B33E8"/>
    <w:rsid w:val="56C22B29"/>
    <w:rsid w:val="5F9422B9"/>
    <w:rsid w:val="64DE20E9"/>
    <w:rsid w:val="657411FF"/>
    <w:rsid w:val="6B0D7DB6"/>
    <w:rsid w:val="6B364EF9"/>
    <w:rsid w:val="73984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media/image1.jpeg" Type="http://schemas.openxmlformats.org/officeDocument/2006/relationships/image"/><Relationship Id="rId7" Target="../customXml/item1.xml" Type="http://schemas.openxmlformats.org/officeDocument/2006/relationships/customXml"/><Relationship Id="rId8" Target="numbering.xml" Type="http://schemas.openxmlformats.org/officeDocument/2006/relationships/numbering"/><Relationship Id="rId9" Target="../customXml/item2.xml" Type="http://schemas.openxmlformats.org/officeDocument/2006/relationships/custom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E6695B-8493-4D1E-A76D-B2D44FE641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1519</Words>
  <Characters>8662</Characters>
  <Lines>72</Lines>
  <Paragraphs>20</Paragraphs>
  <TotalTime>0</TotalTime>
  <ScaleCrop>false</ScaleCrop>
  <LinksUpToDate>false</LinksUpToDate>
  <CharactersWithSpaces>10161</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2024-03-04T01:40:00Z</dcterms:created>
  <dc:creator>Mandy.Z</dc:creator>
  <cp:lastModifiedBy>姚霖钰-960811</cp:lastModifiedBy>
  <cp:lastPrinted>2017-10-31T06:33:00Z</cp:lastPrinted>
  <dcterms:modified xsi:type="dcterms:W3CDTF">2025-12-19T05:50:25Z</dcterms:modified>
  <cp:revision>5</cp:revision>
  <dc:title>___证券投资基金招募说明书1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86388726DBB64AD2A581BB50BFD376DA</vt:lpwstr>
  </property>
</Properties>
</file>