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hint="eastAsia" w:eastAsia="黑体"/>
          <w:bCs/>
          <w:sz w:val="36"/>
          <w:szCs w:val="36"/>
        </w:rPr>
      </w:pPr>
      <w:bookmarkStart w:id="7" w:name="_GoBack"/>
      <w:bookmarkEnd w:id="7"/>
      <w:r>
        <w:rPr>
          <w:rFonts w:hint="eastAsia" w:eastAsia="黑体"/>
          <w:bCs/>
          <w:sz w:val="36"/>
          <w:szCs w:val="36"/>
        </w:rPr>
        <w:t>华夏理财固定收益债权型封闭式理财产品</w:t>
      </w:r>
      <w:r>
        <w:rPr>
          <w:rFonts w:hint="eastAsia" w:eastAsia="黑体"/>
          <w:bCs/>
          <w:sz w:val="36"/>
          <w:szCs w:val="36"/>
          <w:lang w:val="en-US" w:eastAsia="zh-CN"/>
        </w:rPr>
        <w:t>31</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0"/>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1"/>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0"/>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华夏理财固定收益债权型封闭式理财产品</w:t>
            </w:r>
            <w:r>
              <w:rPr>
                <w:rFonts w:hint="eastAsia" w:ascii="仿宋" w:hAnsi="仿宋" w:eastAsia="仿宋"/>
                <w:b/>
                <w:bCs/>
                <w:szCs w:val="21"/>
                <w:lang w:val="en-US" w:eastAsia="zh-CN"/>
              </w:rPr>
              <w:t>31</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lang w:val="en-US" w:eastAsia="zh-CN"/>
              </w:rPr>
            </w:pPr>
            <w:r>
              <w:rPr>
                <w:rFonts w:hint="eastAsia" w:ascii="仿宋" w:hAnsi="仿宋" w:eastAsia="仿宋"/>
                <w:b/>
                <w:bCs/>
                <w:szCs w:val="21"/>
              </w:rPr>
              <w:t>简称：“华夏理财固收债权封闭式</w:t>
            </w:r>
            <w:r>
              <w:rPr>
                <w:rFonts w:hint="eastAsia" w:ascii="仿宋" w:hAnsi="仿宋" w:eastAsia="仿宋"/>
                <w:b/>
                <w:bCs/>
                <w:szCs w:val="21"/>
                <w:lang w:val="en-US" w:eastAsia="zh-CN"/>
              </w:rPr>
              <w:t>31</w:t>
            </w:r>
            <w:r>
              <w:rPr>
                <w:rFonts w:hint="eastAsia" w:ascii="仿宋" w:hAnsi="仿宋" w:eastAsia="仿宋"/>
                <w:b/>
                <w:bCs/>
                <w:szCs w:val="21"/>
              </w:rPr>
              <w:t>号</w:t>
            </w:r>
            <w:r>
              <w:rPr>
                <w:rFonts w:hint="eastAsia" w:ascii="仿宋" w:hAnsi="仿宋" w:eastAsia="仿宋"/>
                <w:b/>
                <w:bCs/>
                <w:szCs w:val="21"/>
                <w:lang w:val="en-US" w:eastAsia="zh-CN"/>
              </w:rPr>
              <w:t>112</w:t>
            </w:r>
            <w:r>
              <w:rPr>
                <w:rFonts w:hint="eastAsia" w:ascii="仿宋" w:hAnsi="仿宋" w:eastAsia="仿宋"/>
                <w:b/>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rPr>
              <w:t>221210</w:t>
            </w:r>
            <w:r>
              <w:rPr>
                <w:rFonts w:hint="eastAsia" w:ascii="仿宋" w:hAnsi="仿宋" w:eastAsia="仿宋"/>
                <w:bCs/>
                <w:szCs w:val="21"/>
                <w:lang w:val="en-US" w:eastAsia="zh-CN"/>
              </w:rPr>
              <w:t>31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rPr>
              <w:t>Z70039220001</w:t>
            </w:r>
            <w:r>
              <w:rPr>
                <w:rFonts w:hint="eastAsia" w:ascii="仿宋" w:hAnsi="仿宋" w:eastAsia="仿宋"/>
                <w:bCs/>
                <w:szCs w:val="21"/>
                <w:lang w:val="en-US" w:eastAsia="zh-CN"/>
              </w:rPr>
              <w:t>38</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lang w:val="en-US" w:eastAsia="zh-CN"/>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3.00%</w:t>
            </w:r>
            <w:r>
              <w:rPr>
                <w:rFonts w:hint="eastAsia" w:ascii="仿宋" w:hAnsi="仿宋" w:eastAsia="仿宋" w:cs="Cambria"/>
                <w:bCs/>
                <w:szCs w:val="21"/>
              </w:rPr>
              <w:t>（年化）</w:t>
            </w:r>
            <w:r>
              <w:rPr>
                <w:rFonts w:hint="eastAsia" w:ascii="仿宋" w:hAnsi="仿宋" w:eastAsia="仿宋" w:cs="Cambria"/>
                <w:bCs/>
                <w:szCs w:val="21"/>
                <w:lang w:val="en-US" w:eastAsia="zh-CN"/>
              </w:rPr>
              <w:t>。</w:t>
            </w:r>
            <w:r>
              <w:rPr>
                <w:rFonts w:hint="eastAsia" w:ascii="仿宋" w:hAnsi="仿宋" w:eastAsia="仿宋" w:cs="Cambria"/>
                <w:bCs/>
                <w:szCs w:val="21"/>
              </w:rPr>
              <w:t>以产品投资利率债仓位0-20%，信用债仓位70%-90%，非标债权类资产仓位10%-40%，组合杠杆率110%为例，参考中债-国债总财富（1-3年）指数、中债-信用债总财富（1-3年）指数以及期限匹配的非标债权类资产目标收益率，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3" w:colFirst="1" w:colLast="1"/>
            <w:bookmarkStart w:id="3" w:name="OLE_LINK2"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2022年</w:t>
            </w:r>
            <w:r>
              <w:rPr>
                <w:rFonts w:hint="eastAsia" w:ascii="仿宋" w:hAnsi="仿宋" w:eastAsia="仿宋"/>
                <w:bCs/>
                <w:szCs w:val="21"/>
                <w:lang w:val="en-US" w:eastAsia="zh-CN"/>
              </w:rPr>
              <w:t>12</w:t>
            </w:r>
            <w:r>
              <w:rPr>
                <w:rFonts w:hint="eastAsia" w:ascii="仿宋" w:hAnsi="仿宋" w:eastAsia="仿宋"/>
                <w:bCs/>
                <w:szCs w:val="21"/>
              </w:rPr>
              <w:t>月</w:t>
            </w:r>
            <w:r>
              <w:rPr>
                <w:rFonts w:hint="eastAsia" w:ascii="仿宋" w:hAnsi="仿宋" w:eastAsia="仿宋"/>
                <w:bCs/>
                <w:szCs w:val="21"/>
                <w:lang w:val="en-US" w:eastAsia="zh-CN"/>
              </w:rPr>
              <w:t>14</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2022年</w:t>
            </w:r>
            <w:r>
              <w:rPr>
                <w:rFonts w:hint="eastAsia" w:ascii="仿宋" w:hAnsi="仿宋" w:eastAsia="仿宋"/>
                <w:bCs/>
                <w:szCs w:val="21"/>
                <w:lang w:val="en-US" w:eastAsia="zh-CN"/>
              </w:rPr>
              <w:t>12</w:t>
            </w:r>
            <w:r>
              <w:rPr>
                <w:rFonts w:hint="eastAsia" w:ascii="仿宋" w:hAnsi="仿宋" w:eastAsia="仿宋"/>
                <w:bCs/>
                <w:szCs w:val="21"/>
              </w:rPr>
              <w:t>月</w:t>
            </w:r>
            <w:r>
              <w:rPr>
                <w:rFonts w:hint="eastAsia" w:ascii="仿宋" w:hAnsi="仿宋" w:eastAsia="仿宋"/>
                <w:bCs/>
                <w:szCs w:val="21"/>
                <w:lang w:val="en-US" w:eastAsia="zh-CN"/>
              </w:rPr>
              <w:t>20</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2022年</w:t>
            </w:r>
            <w:r>
              <w:rPr>
                <w:rFonts w:hint="eastAsia" w:ascii="仿宋" w:hAnsi="仿宋" w:eastAsia="仿宋"/>
                <w:bCs/>
                <w:szCs w:val="21"/>
                <w:lang w:val="en-US" w:eastAsia="zh-CN"/>
              </w:rPr>
              <w:t>12</w:t>
            </w:r>
            <w:r>
              <w:rPr>
                <w:rFonts w:hint="eastAsia" w:ascii="仿宋" w:hAnsi="仿宋" w:eastAsia="仿宋"/>
                <w:bCs/>
                <w:szCs w:val="21"/>
              </w:rPr>
              <w:t>月</w:t>
            </w:r>
            <w:r>
              <w:rPr>
                <w:rFonts w:hint="eastAsia" w:ascii="仿宋" w:hAnsi="仿宋" w:eastAsia="仿宋"/>
                <w:bCs/>
                <w:szCs w:val="21"/>
                <w:lang w:val="en-US" w:eastAsia="zh-CN"/>
              </w:rPr>
              <w:t>21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lang w:val="en-US" w:eastAsia="zh-CN"/>
              </w:rPr>
              <w:t>112</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23</w:t>
            </w:r>
            <w:r>
              <w:rPr>
                <w:rFonts w:hint="eastAsia" w:ascii="仿宋" w:hAnsi="仿宋" w:eastAsia="仿宋"/>
                <w:bCs/>
                <w:szCs w:val="21"/>
              </w:rPr>
              <w:t>年</w:t>
            </w:r>
            <w:r>
              <w:rPr>
                <w:rFonts w:hint="eastAsia" w:ascii="仿宋" w:hAnsi="仿宋" w:eastAsia="仿宋"/>
                <w:bCs/>
                <w:szCs w:val="21"/>
                <w:lang w:val="en-US" w:eastAsia="zh-CN"/>
              </w:rPr>
              <w:t>4</w:t>
            </w:r>
            <w:r>
              <w:rPr>
                <w:rFonts w:hint="eastAsia" w:ascii="仿宋" w:hAnsi="仿宋" w:eastAsia="仿宋"/>
                <w:bCs/>
                <w:szCs w:val="21"/>
              </w:rPr>
              <w:t>月</w:t>
            </w:r>
            <w:r>
              <w:rPr>
                <w:rFonts w:hint="eastAsia" w:ascii="仿宋" w:hAnsi="仿宋" w:eastAsia="仿宋"/>
                <w:bCs/>
                <w:szCs w:val="21"/>
                <w:lang w:val="en-US" w:eastAsia="zh-CN"/>
              </w:rPr>
              <w:t>12</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计划发行规模上限为50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rPr>
              <w:t>1</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lang w:eastAsia="zh-CN"/>
              </w:rPr>
            </w:pPr>
            <w:r>
              <w:rPr>
                <w:rFonts w:ascii="仿宋" w:hAnsi="仿宋" w:eastAsia="仿宋"/>
                <w:bCs/>
                <w:szCs w:val="21"/>
              </w:rPr>
              <w:t>认购起点金额</w:t>
            </w:r>
            <w:r>
              <w:rPr>
                <w:rFonts w:hint="eastAsia" w:ascii="仿宋" w:hAnsi="仿宋" w:eastAsia="仿宋"/>
                <w:bCs/>
                <w:szCs w:val="21"/>
                <w:lang w:val="en-US" w:eastAsia="zh-CN"/>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olor w:val="auto"/>
                <w:lang w:val="en-US" w:eastAsia="zh-CN"/>
              </w:rPr>
              <w:t>最高持有限额要求：本理财产品单一投资者持有本产品份额数不得超过产品份额总数的50%。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w:t>
            </w:r>
            <w:r>
              <w:rPr>
                <w:rFonts w:hint="eastAsia" w:ascii="仿宋" w:hAnsi="仿宋" w:eastAsia="仿宋"/>
                <w:bCs/>
                <w:szCs w:val="21"/>
                <w:lang w:val="en-US" w:eastAsia="zh-CN"/>
              </w:rPr>
              <w:t xml:space="preserve"> 3 </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Cs/>
                <w:szCs w:val="21"/>
              </w:rPr>
            </w:pPr>
            <w:r>
              <w:rPr>
                <w:rFonts w:hint="eastAsia" w:ascii="仿宋" w:hAnsi="仿宋" w:eastAsia="仿宋"/>
                <w:bCs/>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0.0</w:t>
            </w:r>
            <w:r>
              <w:rPr>
                <w:rFonts w:hint="eastAsia" w:ascii="仿宋" w:hAnsi="仿宋" w:eastAsia="仿宋"/>
                <w:bCs/>
                <w:szCs w:val="21"/>
                <w:lang w:val="en-US" w:eastAsia="zh-CN"/>
              </w:rPr>
              <w:t>3</w:t>
            </w:r>
            <w:r>
              <w:rPr>
                <w:rFonts w:hint="eastAsia" w:ascii="仿宋" w:hAnsi="仿宋" w:eastAsia="仿宋"/>
                <w:bCs/>
                <w:szCs w:val="21"/>
              </w:rPr>
              <w:t>%/年，以前一日资产净值为基数，每日计提。公式如下：</w:t>
            </w:r>
          </w:p>
          <w:p>
            <w:pPr>
              <w:adjustRightInd w:val="0"/>
              <w:snapToGrid w:val="0"/>
              <w:spacing w:line="240" w:lineRule="auto"/>
              <w:ind w:firstLine="420"/>
              <w:jc w:val="left"/>
              <w:rPr>
                <w:rFonts w:ascii="仿宋" w:hAnsi="仿宋" w:eastAsia="仿宋"/>
                <w:bCs/>
                <w:szCs w:val="21"/>
              </w:rPr>
            </w:pPr>
            <w:r>
              <w:rPr>
                <w:rFonts w:hint="eastAsia" w:ascii="仿宋" w:hAnsi="仿宋" w:eastAsia="仿宋"/>
                <w:bCs/>
                <w:szCs w:val="21"/>
              </w:rPr>
              <w:t>F=E×【0.03%】</w:t>
            </w:r>
            <w:r>
              <w:rPr>
                <w:rFonts w:hint="eastAsia" w:ascii="仿宋" w:hAnsi="仿宋" w:eastAsia="仿宋"/>
                <w:szCs w:val="21"/>
              </w:rPr>
              <w:t>/当年天数。</w:t>
            </w:r>
            <w:r>
              <w:rPr>
                <w:rFonts w:hint="eastAsia" w:ascii="仿宋" w:hAnsi="仿宋" w:eastAsia="仿宋"/>
                <w:bCs/>
                <w:szCs w:val="21"/>
              </w:rPr>
              <w:t>F为托管费；E为计算</w:t>
            </w:r>
            <w:r>
              <w:rPr>
                <w:rFonts w:ascii="仿宋" w:hAnsi="仿宋" w:eastAsia="仿宋"/>
                <w:bCs/>
                <w:szCs w:val="21"/>
              </w:rPr>
              <w:t>基数</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hint="eastAsia" w:ascii="仿宋" w:hAnsi="仿宋" w:eastAsia="仿宋"/>
                <w:bCs/>
                <w:szCs w:val="21"/>
              </w:rPr>
            </w:pP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为</w:t>
            </w:r>
            <w:r>
              <w:rPr>
                <w:rFonts w:ascii="仿宋" w:hAnsi="仿宋" w:eastAsia="仿宋"/>
                <w:bCs/>
                <w:szCs w:val="21"/>
              </w:rPr>
              <w:t>0.</w:t>
            </w:r>
            <w:r>
              <w:rPr>
                <w:rFonts w:hint="eastAsia" w:ascii="仿宋" w:hAnsi="仿宋" w:eastAsia="仿宋"/>
                <w:bCs/>
                <w:szCs w:val="21"/>
                <w:lang w:val="en-US" w:eastAsia="zh-CN"/>
              </w:rPr>
              <w:t>00</w:t>
            </w:r>
            <w:r>
              <w:rPr>
                <w:rFonts w:hint="eastAsia" w:ascii="仿宋" w:hAnsi="仿宋" w:eastAsia="仿宋"/>
                <w:bCs/>
                <w:szCs w:val="21"/>
              </w:rPr>
              <w:t>%/年，以前一日资产净值为基数，每日计提。</w:t>
            </w:r>
          </w:p>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公式如下：</w:t>
            </w:r>
          </w:p>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F=E×【</w:t>
            </w:r>
            <w:r>
              <w:rPr>
                <w:rFonts w:hint="eastAsia" w:ascii="仿宋" w:hAnsi="仿宋" w:eastAsia="仿宋"/>
                <w:bCs/>
                <w:szCs w:val="21"/>
                <w:lang w:val="en-US" w:eastAsia="zh-CN"/>
              </w:rPr>
              <w:t>0.00%</w:t>
            </w:r>
            <w:r>
              <w:rPr>
                <w:rFonts w:hint="eastAsia" w:ascii="仿宋" w:hAnsi="仿宋" w:eastAsia="仿宋"/>
                <w:bCs/>
                <w:szCs w:val="21"/>
              </w:rPr>
              <w:t>】</w:t>
            </w:r>
            <w:r>
              <w:rPr>
                <w:rFonts w:hint="eastAsia" w:ascii="仿宋" w:hAnsi="仿宋" w:eastAsia="仿宋"/>
                <w:szCs w:val="21"/>
              </w:rPr>
              <w:t>/当年</w:t>
            </w:r>
            <w:r>
              <w:rPr>
                <w:rFonts w:ascii="仿宋" w:hAnsi="仿宋" w:eastAsia="仿宋"/>
                <w:szCs w:val="21"/>
              </w:rPr>
              <w:t>天数</w:t>
            </w:r>
            <w:r>
              <w:rPr>
                <w:rFonts w:hint="eastAsia" w:ascii="仿宋" w:hAnsi="仿宋" w:eastAsia="仿宋"/>
                <w:szCs w:val="21"/>
              </w:rPr>
              <w:t>。</w:t>
            </w:r>
            <w:r>
              <w:rPr>
                <w:rFonts w:hint="eastAsia" w:ascii="仿宋" w:hAnsi="仿宋" w:eastAsia="仿宋"/>
                <w:bCs/>
                <w:szCs w:val="21"/>
              </w:rPr>
              <w:t>F为销售</w:t>
            </w:r>
            <w:r>
              <w:rPr>
                <w:rFonts w:ascii="仿宋" w:hAnsi="仿宋" w:eastAsia="仿宋"/>
                <w:bCs/>
                <w:szCs w:val="21"/>
              </w:rPr>
              <w:t>手续费</w:t>
            </w:r>
            <w:r>
              <w:rPr>
                <w:rFonts w:hint="eastAsia" w:ascii="仿宋" w:hAnsi="仿宋" w:eastAsia="仿宋"/>
                <w:bCs/>
                <w:szCs w:val="21"/>
              </w:rPr>
              <w:t>；E为计算</w:t>
            </w:r>
            <w:r>
              <w:rPr>
                <w:rFonts w:ascii="仿宋" w:hAnsi="仿宋" w:eastAsia="仿宋"/>
                <w:bCs/>
                <w:szCs w:val="21"/>
              </w:rPr>
              <w:t>基数</w:t>
            </w:r>
            <w:r>
              <w:rPr>
                <w:rFonts w:hint="eastAsia" w:ascii="仿宋" w:hAnsi="仿宋" w:eastAsia="仿宋"/>
                <w:bCs/>
                <w:szCs w:val="21"/>
              </w:rPr>
              <w:t>。</w:t>
            </w:r>
          </w:p>
          <w:p>
            <w:pPr>
              <w:adjustRightInd w:val="0"/>
              <w:snapToGrid w:val="0"/>
              <w:spacing w:line="300" w:lineRule="exact"/>
              <w:ind w:firstLine="420"/>
              <w:jc w:val="left"/>
              <w:rPr>
                <w:rFonts w:ascii="仿宋" w:hAnsi="仿宋" w:eastAsia="仿宋"/>
                <w:bCs/>
                <w:szCs w:val="21"/>
              </w:rPr>
            </w:pPr>
            <w:r>
              <w:rPr>
                <w:rFonts w:hint="eastAsia" w:ascii="仿宋" w:hAnsi="仿宋" w:eastAsia="仿宋"/>
                <w:bCs/>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Cs/>
                <w:szCs w:val="21"/>
              </w:rPr>
            </w:pPr>
            <w:r>
              <w:rPr>
                <w:rFonts w:ascii="仿宋" w:hAnsi="仿宋" w:eastAsia="仿宋"/>
                <w:bCs/>
                <w:szCs w:val="21"/>
              </w:rPr>
              <w:t>0.</w:t>
            </w:r>
            <w:r>
              <w:rPr>
                <w:rFonts w:hint="eastAsia" w:ascii="仿宋" w:hAnsi="仿宋" w:eastAsia="仿宋"/>
                <w:bCs/>
                <w:szCs w:val="21"/>
                <w:lang w:val="en-US" w:eastAsia="zh-CN"/>
              </w:rPr>
              <w:t>00</w:t>
            </w:r>
            <w:r>
              <w:rPr>
                <w:rFonts w:hint="eastAsia" w:ascii="仿宋" w:hAnsi="仿宋" w:eastAsia="仿宋"/>
                <w:bCs/>
                <w:szCs w:val="21"/>
              </w:rPr>
              <w:t>%/年，以前一日资产净值为基数，每日计提。公式如下：</w:t>
            </w:r>
          </w:p>
          <w:p>
            <w:pPr>
              <w:adjustRightInd w:val="0"/>
              <w:snapToGrid w:val="0"/>
              <w:spacing w:line="300" w:lineRule="exact"/>
              <w:ind w:firstLine="420"/>
              <w:rPr>
                <w:rFonts w:ascii="仿宋" w:hAnsi="仿宋" w:eastAsia="仿宋"/>
                <w:bCs/>
                <w:szCs w:val="21"/>
              </w:rPr>
            </w:pPr>
            <w:r>
              <w:rPr>
                <w:rFonts w:hint="eastAsia" w:ascii="仿宋" w:hAnsi="仿宋" w:eastAsia="仿宋"/>
                <w:bCs/>
                <w:szCs w:val="21"/>
              </w:rPr>
              <w:t>F=E×【</w:t>
            </w:r>
            <w:r>
              <w:rPr>
                <w:rFonts w:hint="eastAsia" w:ascii="仿宋" w:hAnsi="仿宋" w:eastAsia="仿宋"/>
                <w:bCs/>
                <w:szCs w:val="21"/>
                <w:lang w:val="en-US" w:eastAsia="zh-CN"/>
              </w:rPr>
              <w:t>0.00%</w:t>
            </w:r>
            <w:r>
              <w:rPr>
                <w:rFonts w:hint="eastAsia" w:ascii="仿宋" w:hAnsi="仿宋" w:eastAsia="仿宋"/>
                <w:bCs/>
                <w:szCs w:val="21"/>
              </w:rPr>
              <w:t>】</w:t>
            </w:r>
            <w:r>
              <w:rPr>
                <w:rFonts w:hint="eastAsia" w:ascii="仿宋" w:hAnsi="仿宋" w:eastAsia="仿宋"/>
                <w:szCs w:val="21"/>
              </w:rPr>
              <w:t>/当年</w:t>
            </w:r>
            <w:r>
              <w:rPr>
                <w:rFonts w:ascii="仿宋" w:hAnsi="仿宋" w:eastAsia="仿宋"/>
                <w:szCs w:val="21"/>
              </w:rPr>
              <w:t>天数</w:t>
            </w:r>
            <w:r>
              <w:rPr>
                <w:rFonts w:hint="eastAsia" w:ascii="仿宋" w:hAnsi="仿宋" w:eastAsia="仿宋"/>
                <w:szCs w:val="21"/>
              </w:rPr>
              <w:t>。</w:t>
            </w:r>
            <w:r>
              <w:rPr>
                <w:rFonts w:hint="eastAsia" w:ascii="仿宋" w:hAnsi="仿宋" w:eastAsia="仿宋"/>
                <w:bCs/>
                <w:szCs w:val="21"/>
              </w:rPr>
              <w:t>F为固定管理费；E为计算</w:t>
            </w:r>
            <w:r>
              <w:rPr>
                <w:rFonts w:ascii="仿宋" w:hAnsi="仿宋" w:eastAsia="仿宋"/>
                <w:bCs/>
                <w:szCs w:val="21"/>
              </w:rPr>
              <w:t>基数</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hint="eastAsia" w:ascii="仿宋" w:hAnsi="仿宋" w:eastAsia="仿宋"/>
                <w:bCs/>
                <w:szCs w:val="21"/>
                <w:lang w:val="en-US" w:eastAsia="zh-CN"/>
              </w:rPr>
            </w:pPr>
            <w:r>
              <w:rPr>
                <w:rFonts w:hint="eastAsia" w:ascii="仿宋" w:hAnsi="仿宋" w:eastAsia="仿宋"/>
                <w:bCs/>
                <w:szCs w:val="21"/>
              </w:rPr>
              <w:t>扣除各项费用（包括销售手续费、托管费、固定管理费及</w:t>
            </w:r>
            <w:r>
              <w:rPr>
                <w:rFonts w:ascii="仿宋" w:hAnsi="仿宋" w:eastAsia="仿宋"/>
                <w:bCs/>
                <w:szCs w:val="21"/>
              </w:rPr>
              <w:t>其他费用</w:t>
            </w:r>
            <w:r>
              <w:rPr>
                <w:rFonts w:hint="eastAsia" w:ascii="仿宋" w:hAnsi="仿宋" w:eastAsia="仿宋"/>
                <w:bCs/>
                <w:szCs w:val="21"/>
              </w:rPr>
              <w:t>等）后，产品实现的年化收益率低于或等于</w:t>
            </w:r>
            <w:r>
              <w:rPr>
                <w:rFonts w:hint="eastAsia" w:ascii="仿宋" w:hAnsi="仿宋" w:eastAsia="仿宋"/>
                <w:bCs/>
                <w:szCs w:val="21"/>
                <w:lang w:val="en-US" w:eastAsia="zh-CN"/>
              </w:rPr>
              <w:t>3.00</w:t>
            </w:r>
            <w:r>
              <w:rPr>
                <w:rFonts w:hint="eastAsia" w:ascii="仿宋" w:hAnsi="仿宋" w:eastAsia="仿宋"/>
                <w:bCs/>
                <w:szCs w:val="21"/>
              </w:rPr>
              <w:t>%，则管理人不收取超额管理费；超过</w:t>
            </w:r>
            <w:r>
              <w:rPr>
                <w:rFonts w:hint="eastAsia" w:ascii="仿宋" w:hAnsi="仿宋" w:eastAsia="仿宋"/>
                <w:bCs/>
                <w:szCs w:val="21"/>
                <w:lang w:val="en-US" w:eastAsia="zh-CN"/>
              </w:rPr>
              <w:t>3.00</w:t>
            </w:r>
            <w:r>
              <w:rPr>
                <w:rFonts w:hint="eastAsia" w:ascii="仿宋" w:hAnsi="仿宋" w:eastAsia="仿宋"/>
                <w:bCs/>
                <w:szCs w:val="21"/>
              </w:rPr>
              <w:t>%的部分，50</w:t>
            </w:r>
            <w:r>
              <w:rPr>
                <w:rFonts w:ascii="仿宋" w:hAnsi="仿宋" w:eastAsia="仿宋"/>
                <w:bCs/>
                <w:szCs w:val="21"/>
              </w:rPr>
              <w:t>%</w:t>
            </w:r>
            <w:r>
              <w:rPr>
                <w:rFonts w:hint="eastAsia" w:ascii="仿宋" w:hAnsi="仿宋" w:eastAsia="仿宋"/>
                <w:bCs/>
                <w:szCs w:val="21"/>
              </w:rPr>
              <w:t>归投资人所有，其余作为管理人的超额管理费。</w:t>
            </w:r>
          </w:p>
          <w:p>
            <w:pPr>
              <w:adjustRightInd w:val="0"/>
              <w:snapToGrid w:val="0"/>
              <w:spacing w:line="300" w:lineRule="exact"/>
              <w:ind w:firstLine="420"/>
              <w:rPr>
                <w:rFonts w:ascii="仿宋" w:hAnsi="仿宋" w:eastAsia="仿宋"/>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Cs/>
                <w:szCs w:val="21"/>
              </w:rPr>
            </w:pPr>
            <w:r>
              <w:rPr>
                <w:rFonts w:hint="eastAsia" w:ascii="仿宋" w:hAnsi="仿宋" w:eastAsia="仿宋"/>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1"/>
        <w:snapToGrid w:val="0"/>
        <w:spacing w:after="156" w:afterLines="50" w:line="400" w:lineRule="exact"/>
        <w:ind w:firstLine="482" w:firstLineChars="200"/>
        <w:jc w:val="both"/>
        <w:rPr>
          <w:rFonts w:ascii="Times New Roman" w:eastAsia="黑体" w:cs="Times New Roman"/>
          <w:b/>
          <w:color w:val="auto"/>
        </w:rPr>
      </w:pP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本理财产品将主要投资于货币市场工具、标准化债权类资产、非标准化债权类资产等固定收益类资产。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0"/>
        <w:tblW w:w="7900" w:type="dxa"/>
        <w:tblCellSpacing w:w="0" w:type="dxa"/>
        <w:tblInd w:w="107" w:type="dxa"/>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2762"/>
        <w:gridCol w:w="5138"/>
      </w:tblGrid>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tblCellSpacing w:w="0" w:type="dxa"/>
        </w:trPr>
        <w:tc>
          <w:tcPr>
            <w:tcW w:w="2762"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5138"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tblCellSpacing w:w="0" w:type="dxa"/>
        </w:trPr>
        <w:tc>
          <w:tcPr>
            <w:tcW w:w="2762"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hint="eastAsia" w:ascii="仿宋" w:hAnsi="仿宋" w:eastAsia="仿宋" w:cs="宋体"/>
                <w:color w:val="000000"/>
                <w:kern w:val="0"/>
                <w:sz w:val="24"/>
              </w:rPr>
              <w:t>固定收益类</w:t>
            </w:r>
          </w:p>
        </w:tc>
        <w:tc>
          <w:tcPr>
            <w:tcW w:w="5138"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hint="eastAsia" w:ascii="仿宋" w:hAnsi="仿宋" w:eastAsia="仿宋" w:cs="宋体"/>
                <w:color w:val="000000"/>
                <w:kern w:val="0"/>
                <w:sz w:val="24"/>
              </w:rPr>
              <w:t>0%-100%</w:t>
            </w:r>
          </w:p>
        </w:tc>
      </w:tr>
    </w:tbl>
    <w:p>
      <w:pPr>
        <w:widowControl/>
        <w:adjustRightInd w:val="0"/>
        <w:snapToGrid w:val="0"/>
        <w:spacing w:line="276" w:lineRule="auto"/>
        <w:ind w:firstLine="420" w:firstLineChars="0"/>
        <w:contextualSpacing/>
        <w:rPr>
          <w:rFonts w:hint="eastAsia" w:ascii="仿宋" w:hAnsi="仿宋" w:eastAsia="仿宋" w:cs="宋体"/>
          <w:kern w:val="0"/>
          <w:sz w:val="24"/>
          <w:lang w:val="en-US" w:eastAsia="zh-CN"/>
        </w:rPr>
      </w:pPr>
      <w:r>
        <w:rPr>
          <w:rFonts w:hint="eastAsia" w:ascii="仿宋" w:hAnsi="仿宋" w:eastAsia="仿宋" w:cs="宋体"/>
          <w:kern w:val="0"/>
          <w:sz w:val="24"/>
          <w:lang w:val="en-US" w:eastAsia="zh-CN"/>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管理人应当自本理财产品成立日起</w:t>
      </w:r>
      <w:r>
        <w:rPr>
          <w:rFonts w:hint="eastAsia" w:ascii="仿宋" w:hAnsi="仿宋" w:eastAsia="仿宋" w:cs="宋体"/>
          <w:b/>
          <w:bCs/>
          <w:color w:val="000000"/>
          <w:kern w:val="0"/>
          <w:sz w:val="24"/>
          <w:lang w:val="en-US" w:eastAsia="zh-CN"/>
        </w:rPr>
        <w:t>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1"/>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柜台、手机银行、网上银行、微信银行</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1"/>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本理财产品所投资的银行存款、货币市场工具、债券等标准化债权类资产、非标准化债权类资产以及资产管理产品等资产。</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（1）场外申赎的开放式基金（包括上市开放式基金LOF）以估值日前一交易日基金净值估值，估值日前一交易日开放式基金份额净值未公布的，以此前最近一个交易日基金份额净值计算；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（3）货币基金按前一估值日后至估值日期间（含节假日）发布的万份收益计提估值日收益。</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1"/>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1"/>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1"/>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hint="eastAsia"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86079"/>
    <w:rsid w:val="00190BB4"/>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53D13"/>
    <w:rsid w:val="00E62046"/>
    <w:rsid w:val="00E65F0B"/>
    <w:rsid w:val="00E8067C"/>
    <w:rsid w:val="00E91719"/>
    <w:rsid w:val="00E93A95"/>
    <w:rsid w:val="00EA4EFE"/>
    <w:rsid w:val="00EC1941"/>
    <w:rsid w:val="00ED51B9"/>
    <w:rsid w:val="00ED5CA8"/>
    <w:rsid w:val="00EE0EFC"/>
    <w:rsid w:val="00EE4B28"/>
    <w:rsid w:val="00EE5ED9"/>
    <w:rsid w:val="00F02D76"/>
    <w:rsid w:val="00F045C3"/>
    <w:rsid w:val="00F05127"/>
    <w:rsid w:val="00F208BA"/>
    <w:rsid w:val="00F512E9"/>
    <w:rsid w:val="00F54606"/>
    <w:rsid w:val="00F67A6A"/>
    <w:rsid w:val="00F67A9C"/>
    <w:rsid w:val="00F72DB1"/>
    <w:rsid w:val="00F77DC9"/>
    <w:rsid w:val="00F82368"/>
    <w:rsid w:val="00FB10EC"/>
    <w:rsid w:val="00FC0983"/>
    <w:rsid w:val="00FC21F8"/>
    <w:rsid w:val="00FC6689"/>
    <w:rsid w:val="00FC72F2"/>
    <w:rsid w:val="00FF5911"/>
    <w:rsid w:val="015E11C2"/>
    <w:rsid w:val="01914021"/>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A87A0E"/>
    <w:rsid w:val="08B55CE0"/>
    <w:rsid w:val="08D300AE"/>
    <w:rsid w:val="09277EEB"/>
    <w:rsid w:val="096506FA"/>
    <w:rsid w:val="09713FFE"/>
    <w:rsid w:val="09B80512"/>
    <w:rsid w:val="0A01440A"/>
    <w:rsid w:val="0A513B0D"/>
    <w:rsid w:val="0A5478A3"/>
    <w:rsid w:val="0CDA1B6B"/>
    <w:rsid w:val="0D3600BA"/>
    <w:rsid w:val="0DD32259"/>
    <w:rsid w:val="0E143946"/>
    <w:rsid w:val="0E73282A"/>
    <w:rsid w:val="0EF43DB9"/>
    <w:rsid w:val="0F850895"/>
    <w:rsid w:val="102F133E"/>
    <w:rsid w:val="1091535F"/>
    <w:rsid w:val="10987645"/>
    <w:rsid w:val="10AC5A06"/>
    <w:rsid w:val="10B272CB"/>
    <w:rsid w:val="10C47BE9"/>
    <w:rsid w:val="10ED247D"/>
    <w:rsid w:val="110764BF"/>
    <w:rsid w:val="113A6DA1"/>
    <w:rsid w:val="114758B1"/>
    <w:rsid w:val="11921C3C"/>
    <w:rsid w:val="119A5652"/>
    <w:rsid w:val="11BA7B51"/>
    <w:rsid w:val="120F1E2C"/>
    <w:rsid w:val="12540566"/>
    <w:rsid w:val="12946645"/>
    <w:rsid w:val="12D3200B"/>
    <w:rsid w:val="13030279"/>
    <w:rsid w:val="13495D69"/>
    <w:rsid w:val="13B7767A"/>
    <w:rsid w:val="13B9670D"/>
    <w:rsid w:val="13DE4767"/>
    <w:rsid w:val="14484DCB"/>
    <w:rsid w:val="14852776"/>
    <w:rsid w:val="15140BCE"/>
    <w:rsid w:val="1584793E"/>
    <w:rsid w:val="15874EAA"/>
    <w:rsid w:val="15C47445"/>
    <w:rsid w:val="15DF45C9"/>
    <w:rsid w:val="15E41B70"/>
    <w:rsid w:val="16440A35"/>
    <w:rsid w:val="16577530"/>
    <w:rsid w:val="167255CF"/>
    <w:rsid w:val="16840173"/>
    <w:rsid w:val="16FB6F37"/>
    <w:rsid w:val="17825A05"/>
    <w:rsid w:val="17D31FDC"/>
    <w:rsid w:val="17D76C2B"/>
    <w:rsid w:val="17F8769D"/>
    <w:rsid w:val="18041AB4"/>
    <w:rsid w:val="1812072F"/>
    <w:rsid w:val="189F7450"/>
    <w:rsid w:val="18BD0DDF"/>
    <w:rsid w:val="190F268E"/>
    <w:rsid w:val="19287585"/>
    <w:rsid w:val="19610BFF"/>
    <w:rsid w:val="19953307"/>
    <w:rsid w:val="19A07D04"/>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E516B8"/>
    <w:rsid w:val="1E047274"/>
    <w:rsid w:val="1E433C85"/>
    <w:rsid w:val="1ED877DF"/>
    <w:rsid w:val="1F0B3DFE"/>
    <w:rsid w:val="1F5522A7"/>
    <w:rsid w:val="1FD45CE1"/>
    <w:rsid w:val="1FF41399"/>
    <w:rsid w:val="201E5567"/>
    <w:rsid w:val="208B1E00"/>
    <w:rsid w:val="21433609"/>
    <w:rsid w:val="214D162F"/>
    <w:rsid w:val="22171129"/>
    <w:rsid w:val="222D0D62"/>
    <w:rsid w:val="22551E62"/>
    <w:rsid w:val="227D729C"/>
    <w:rsid w:val="2350568B"/>
    <w:rsid w:val="237F35E5"/>
    <w:rsid w:val="23A50D24"/>
    <w:rsid w:val="23E44373"/>
    <w:rsid w:val="242806AA"/>
    <w:rsid w:val="24392A65"/>
    <w:rsid w:val="2467066D"/>
    <w:rsid w:val="246A7D07"/>
    <w:rsid w:val="24E91956"/>
    <w:rsid w:val="252E26F1"/>
    <w:rsid w:val="25C3267A"/>
    <w:rsid w:val="25D568B4"/>
    <w:rsid w:val="25F33B9E"/>
    <w:rsid w:val="260C731E"/>
    <w:rsid w:val="26103F21"/>
    <w:rsid w:val="27C604DA"/>
    <w:rsid w:val="27EA63D1"/>
    <w:rsid w:val="287A5D0E"/>
    <w:rsid w:val="28B05EE9"/>
    <w:rsid w:val="28D30187"/>
    <w:rsid w:val="28E571A8"/>
    <w:rsid w:val="294C4E21"/>
    <w:rsid w:val="296D4B02"/>
    <w:rsid w:val="2A103412"/>
    <w:rsid w:val="2A1E1418"/>
    <w:rsid w:val="2A770C99"/>
    <w:rsid w:val="2AB60615"/>
    <w:rsid w:val="2BBB2833"/>
    <w:rsid w:val="2BC42334"/>
    <w:rsid w:val="2C1011CD"/>
    <w:rsid w:val="2C40390A"/>
    <w:rsid w:val="2C4C703B"/>
    <w:rsid w:val="2D241337"/>
    <w:rsid w:val="2D753D30"/>
    <w:rsid w:val="2DC02129"/>
    <w:rsid w:val="2E010168"/>
    <w:rsid w:val="2E6A7D66"/>
    <w:rsid w:val="2EA605F1"/>
    <w:rsid w:val="2EA972CC"/>
    <w:rsid w:val="2EC31B75"/>
    <w:rsid w:val="2FE72027"/>
    <w:rsid w:val="306A137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B76A85"/>
    <w:rsid w:val="36B82ADE"/>
    <w:rsid w:val="374D77C7"/>
    <w:rsid w:val="376879F0"/>
    <w:rsid w:val="378F057D"/>
    <w:rsid w:val="37EC4B4C"/>
    <w:rsid w:val="387B665C"/>
    <w:rsid w:val="39690814"/>
    <w:rsid w:val="39B76C90"/>
    <w:rsid w:val="39C37A55"/>
    <w:rsid w:val="39C53B44"/>
    <w:rsid w:val="39EF39C3"/>
    <w:rsid w:val="3A021304"/>
    <w:rsid w:val="3A23092B"/>
    <w:rsid w:val="3A35598B"/>
    <w:rsid w:val="3A595F4B"/>
    <w:rsid w:val="3A9D0C11"/>
    <w:rsid w:val="3B4C73CF"/>
    <w:rsid w:val="3BC55932"/>
    <w:rsid w:val="3C7826C2"/>
    <w:rsid w:val="3C8F2051"/>
    <w:rsid w:val="3CD87A38"/>
    <w:rsid w:val="3D83215E"/>
    <w:rsid w:val="3DF76443"/>
    <w:rsid w:val="3DFF3A1A"/>
    <w:rsid w:val="3EA946F7"/>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3B33070"/>
    <w:rsid w:val="449B7167"/>
    <w:rsid w:val="44CC2C77"/>
    <w:rsid w:val="4524487F"/>
    <w:rsid w:val="45CC078F"/>
    <w:rsid w:val="466B6F06"/>
    <w:rsid w:val="46860155"/>
    <w:rsid w:val="476049FD"/>
    <w:rsid w:val="47802A85"/>
    <w:rsid w:val="47E65D23"/>
    <w:rsid w:val="4801691C"/>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263A21"/>
    <w:rsid w:val="4C973694"/>
    <w:rsid w:val="4CCE54E6"/>
    <w:rsid w:val="4D5D4C67"/>
    <w:rsid w:val="4EDD4EDE"/>
    <w:rsid w:val="4EE45C33"/>
    <w:rsid w:val="4EED4C04"/>
    <w:rsid w:val="4F323CFA"/>
    <w:rsid w:val="4F78446F"/>
    <w:rsid w:val="500C5A60"/>
    <w:rsid w:val="50461117"/>
    <w:rsid w:val="509A5F14"/>
    <w:rsid w:val="51954E8A"/>
    <w:rsid w:val="519B5496"/>
    <w:rsid w:val="52667895"/>
    <w:rsid w:val="52B20439"/>
    <w:rsid w:val="5337488A"/>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7B0F8C"/>
    <w:rsid w:val="56D476A1"/>
    <w:rsid w:val="574328BF"/>
    <w:rsid w:val="575D24C0"/>
    <w:rsid w:val="584667E1"/>
    <w:rsid w:val="5884596F"/>
    <w:rsid w:val="58E1781D"/>
    <w:rsid w:val="598336AE"/>
    <w:rsid w:val="599B3F0F"/>
    <w:rsid w:val="59A2047A"/>
    <w:rsid w:val="5A41650D"/>
    <w:rsid w:val="5A7852B1"/>
    <w:rsid w:val="5AA97C90"/>
    <w:rsid w:val="5AE4319D"/>
    <w:rsid w:val="5C7E5C8C"/>
    <w:rsid w:val="5CE90207"/>
    <w:rsid w:val="5E3B759B"/>
    <w:rsid w:val="5E501568"/>
    <w:rsid w:val="5E50611E"/>
    <w:rsid w:val="5EB138AE"/>
    <w:rsid w:val="5EB53035"/>
    <w:rsid w:val="5ED23CC7"/>
    <w:rsid w:val="5EE6353D"/>
    <w:rsid w:val="5F0310B7"/>
    <w:rsid w:val="5F0C287E"/>
    <w:rsid w:val="5F1655AE"/>
    <w:rsid w:val="5F5952B0"/>
    <w:rsid w:val="602E28A2"/>
    <w:rsid w:val="60C0423D"/>
    <w:rsid w:val="60E7450D"/>
    <w:rsid w:val="6166406C"/>
    <w:rsid w:val="618F3AF2"/>
    <w:rsid w:val="61DA68DC"/>
    <w:rsid w:val="622708C6"/>
    <w:rsid w:val="62460A47"/>
    <w:rsid w:val="63554C8E"/>
    <w:rsid w:val="63890B77"/>
    <w:rsid w:val="63970830"/>
    <w:rsid w:val="639D1EC4"/>
    <w:rsid w:val="63A13700"/>
    <w:rsid w:val="63DA03E2"/>
    <w:rsid w:val="64541B77"/>
    <w:rsid w:val="64667487"/>
    <w:rsid w:val="64E9282A"/>
    <w:rsid w:val="65C63D9B"/>
    <w:rsid w:val="66103AAA"/>
    <w:rsid w:val="667640C4"/>
    <w:rsid w:val="668E708A"/>
    <w:rsid w:val="66DC24A5"/>
    <w:rsid w:val="66DF3B52"/>
    <w:rsid w:val="672963E0"/>
    <w:rsid w:val="675A4556"/>
    <w:rsid w:val="675C47D1"/>
    <w:rsid w:val="675E5725"/>
    <w:rsid w:val="679271B5"/>
    <w:rsid w:val="67AE1BA6"/>
    <w:rsid w:val="68191A65"/>
    <w:rsid w:val="68F60924"/>
    <w:rsid w:val="69572330"/>
    <w:rsid w:val="698C4C9E"/>
    <w:rsid w:val="69E719A0"/>
    <w:rsid w:val="6A5B0FA5"/>
    <w:rsid w:val="6A983C35"/>
    <w:rsid w:val="6AAC3F8C"/>
    <w:rsid w:val="6B4C2F45"/>
    <w:rsid w:val="6B966680"/>
    <w:rsid w:val="6C161AD0"/>
    <w:rsid w:val="6D157AE9"/>
    <w:rsid w:val="6D2E7D50"/>
    <w:rsid w:val="6DD90E21"/>
    <w:rsid w:val="6DE0162F"/>
    <w:rsid w:val="6DFA3383"/>
    <w:rsid w:val="6E1A49C5"/>
    <w:rsid w:val="6E254EA7"/>
    <w:rsid w:val="6E4B2AEB"/>
    <w:rsid w:val="6EBB30B7"/>
    <w:rsid w:val="6F786BDA"/>
    <w:rsid w:val="70851CBD"/>
    <w:rsid w:val="709573C6"/>
    <w:rsid w:val="709E2354"/>
    <w:rsid w:val="70E70772"/>
    <w:rsid w:val="71900429"/>
    <w:rsid w:val="719027A5"/>
    <w:rsid w:val="71C9496E"/>
    <w:rsid w:val="71EE76F7"/>
    <w:rsid w:val="725F0CAE"/>
    <w:rsid w:val="72981180"/>
    <w:rsid w:val="729C09F9"/>
    <w:rsid w:val="73001A15"/>
    <w:rsid w:val="73155C46"/>
    <w:rsid w:val="7366194C"/>
    <w:rsid w:val="74062834"/>
    <w:rsid w:val="740D552E"/>
    <w:rsid w:val="74136087"/>
    <w:rsid w:val="7443680B"/>
    <w:rsid w:val="74A805D6"/>
    <w:rsid w:val="74A870B6"/>
    <w:rsid w:val="74EC6D1E"/>
    <w:rsid w:val="74FA0674"/>
    <w:rsid w:val="754F1383"/>
    <w:rsid w:val="75DC198B"/>
    <w:rsid w:val="762A07F6"/>
    <w:rsid w:val="764A2B58"/>
    <w:rsid w:val="76661B90"/>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BB83CC7"/>
    <w:rsid w:val="7CC529BE"/>
    <w:rsid w:val="7CDB4C9F"/>
    <w:rsid w:val="7D016D57"/>
    <w:rsid w:val="7D2B624D"/>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10">
    <w:name w:val="Normal Table"/>
    <w:unhideWhenUsed/>
    <w:qFormat/>
    <w:uiPriority w:val="99"/>
    <w:tblPr>
      <w:tblStyle w:val="10"/>
      <w:tblLayout w:type="fixed"/>
      <w:tblCellMar>
        <w:top w:w="0" w:type="dxa"/>
        <w:left w:w="108" w:type="dxa"/>
        <w:bottom w:w="0" w:type="dxa"/>
        <w:right w:w="108" w:type="dxa"/>
      </w:tblCellMar>
    </w:tblPr>
    <w:tcPr>
      <w:textDirection w:val="lrTb"/>
    </w:tcPr>
  </w:style>
  <w:style w:type="paragraph" w:styleId="2">
    <w:name w:val="annotation subject"/>
    <w:basedOn w:val="3"/>
    <w:next w:val="3"/>
    <w:link w:val="13"/>
    <w:qFormat/>
    <w:uiPriority w:val="0"/>
    <w:rPr>
      <w:b/>
      <w:bCs/>
    </w:rPr>
  </w:style>
  <w:style w:type="paragraph" w:styleId="3">
    <w:name w:val="annotation text"/>
    <w:basedOn w:val="1"/>
    <w:link w:val="12"/>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character" w:styleId="9">
    <w:name w:val="annotation reference"/>
    <w:qFormat/>
    <w:uiPriority w:val="0"/>
    <w:rPr>
      <w:sz w:val="21"/>
      <w:szCs w:val="21"/>
    </w:rPr>
  </w:style>
  <w:style w:type="paragraph" w:customStyle="1" w:styleId="1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2">
    <w:name w:val="批注文字 Char"/>
    <w:link w:val="3"/>
    <w:qFormat/>
    <w:uiPriority w:val="0"/>
    <w:rPr>
      <w:kern w:val="2"/>
      <w:sz w:val="21"/>
      <w:szCs w:val="24"/>
    </w:rPr>
  </w:style>
  <w:style w:type="character" w:customStyle="1" w:styleId="13">
    <w:name w:val="批注主题 Char"/>
    <w:link w:val="2"/>
    <w:qFormat/>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16</Pages>
  <Words>2485</Words>
  <Characters>14171</Characters>
  <Lines>118</Lines>
  <Paragraphs>33</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2022-07-29T05:59:00Z</dcterms:created>
  <dc:creator>ylh;陈晓飞</dc:creator>
  <cp:keywords>22Y8</cp:keywords>
  <cp:lastModifiedBy>lczgs</cp:lastModifiedBy>
  <cp:lastPrinted>2021-07-21T07:06:00Z</cp:lastPrinted>
  <dcterms:modified xsi:type="dcterms:W3CDTF">2022-12-21T06:19:04Z</dcterms:modified>
  <dc:title>华夏理财固定收益债权型封闭式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A70F4E0520A64F2EA7551716B210AFE0</vt:lpwstr>
  </property>
</Properties>
</file>