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hint="eastAsia" w:eastAsia="黑体"/>
          <w:bCs/>
          <w:sz w:val="36"/>
          <w:szCs w:val="36"/>
        </w:rPr>
      </w:pPr>
      <w:r>
        <w:rPr>
          <w:rFonts w:hint="eastAsia" w:eastAsia="黑体"/>
          <w:bCs/>
          <w:sz w:val="36"/>
          <w:szCs w:val="36"/>
        </w:rPr>
        <w:t>华夏理财固定收益债权型封闭式理财产品</w:t>
      </w:r>
      <w:r>
        <w:rPr>
          <w:rFonts w:hint="eastAsia" w:eastAsia="黑体"/>
          <w:bCs/>
          <w:sz w:val="36"/>
          <w:szCs w:val="36"/>
          <w:lang w:val="en-US" w:eastAsia="zh-CN"/>
        </w:rPr>
        <w:t>70</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3"/>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47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70</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70</w:t>
            </w:r>
            <w:r>
              <w:rPr>
                <w:rFonts w:hint="eastAsia" w:ascii="仿宋" w:hAnsi="仿宋" w:eastAsia="仿宋"/>
                <w:b/>
                <w:bCs/>
                <w:szCs w:val="21"/>
              </w:rPr>
              <w:t>号</w:t>
            </w:r>
            <w:r>
              <w:rPr>
                <w:rFonts w:hint="eastAsia" w:ascii="仿宋" w:hAnsi="仿宋" w:eastAsia="仿宋"/>
                <w:b/>
                <w:bCs/>
                <w:szCs w:val="21"/>
                <w:lang w:val="en-US" w:eastAsia="zh-CN"/>
              </w:rPr>
              <w:t>293</w:t>
            </w:r>
            <w:r>
              <w:rPr>
                <w:rFonts w:hint="eastAsia" w:ascii="仿宋" w:hAnsi="仿宋" w:eastAsia="仿宋"/>
                <w:b/>
                <w:bCs/>
                <w:szCs w:val="21"/>
              </w:rPr>
              <w:t>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val="en-US" w:eastAsia="zh-CN"/>
              </w:rPr>
              <w:t>C</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70</w:t>
            </w:r>
            <w:r>
              <w:rPr>
                <w:rFonts w:hint="eastAsia" w:ascii="仿宋" w:hAnsi="仿宋" w:eastAsia="仿宋"/>
                <w:b/>
                <w:bCs/>
                <w:szCs w:val="21"/>
              </w:rPr>
              <w:t>号</w:t>
            </w:r>
            <w:r>
              <w:rPr>
                <w:rFonts w:hint="eastAsia" w:ascii="仿宋" w:hAnsi="仿宋" w:eastAsia="仿宋"/>
                <w:b/>
                <w:bCs/>
                <w:szCs w:val="21"/>
                <w:lang w:val="en-US" w:eastAsia="zh-CN"/>
              </w:rPr>
              <w:t>293</w:t>
            </w:r>
            <w:r>
              <w:rPr>
                <w:rFonts w:hint="eastAsia" w:ascii="仿宋" w:hAnsi="仿宋" w:eastAsia="仿宋"/>
                <w:b/>
                <w:bCs/>
                <w:szCs w:val="21"/>
              </w:rPr>
              <w:t>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D</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70</w:t>
            </w:r>
            <w:r>
              <w:rPr>
                <w:rFonts w:hint="eastAsia" w:ascii="仿宋" w:hAnsi="仿宋" w:eastAsia="仿宋"/>
                <w:b/>
                <w:bCs/>
                <w:szCs w:val="21"/>
              </w:rPr>
              <w:t>号</w:t>
            </w:r>
            <w:r>
              <w:rPr>
                <w:rFonts w:hint="eastAsia" w:ascii="仿宋" w:hAnsi="仿宋" w:eastAsia="仿宋"/>
                <w:b/>
                <w:bCs/>
                <w:szCs w:val="21"/>
                <w:lang w:val="en-US" w:eastAsia="zh-CN"/>
              </w:rPr>
              <w:t>293</w:t>
            </w:r>
            <w:r>
              <w:rPr>
                <w:rFonts w:hint="eastAsia" w:ascii="仿宋" w:hAnsi="仿宋" w:eastAsia="仿宋"/>
                <w:b/>
                <w:bCs/>
                <w:szCs w:val="21"/>
              </w:rPr>
              <w:t>天</w:t>
            </w:r>
            <w:r>
              <w:rPr>
                <w:rFonts w:hint="eastAsia" w:ascii="仿宋" w:hAnsi="仿宋" w:eastAsia="仿宋"/>
                <w:b/>
                <w:bCs/>
                <w:szCs w:val="21"/>
                <w:lang w:val="en-US" w:eastAsia="zh-CN"/>
              </w:rPr>
              <w:t>D</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val="en-US" w:eastAsia="zh-CN"/>
              </w:rPr>
              <w:t>X</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70</w:t>
            </w:r>
            <w:r>
              <w:rPr>
                <w:rFonts w:hint="eastAsia" w:ascii="仿宋" w:hAnsi="仿宋" w:eastAsia="仿宋"/>
                <w:b/>
                <w:bCs/>
                <w:szCs w:val="21"/>
              </w:rPr>
              <w:t>号</w:t>
            </w:r>
            <w:r>
              <w:rPr>
                <w:rFonts w:hint="eastAsia" w:ascii="仿宋" w:hAnsi="仿宋" w:eastAsia="仿宋"/>
                <w:b/>
                <w:bCs/>
                <w:szCs w:val="21"/>
                <w:lang w:val="en-US" w:eastAsia="zh-CN"/>
              </w:rPr>
              <w:t>293</w:t>
            </w:r>
            <w:r>
              <w:rPr>
                <w:rFonts w:hint="eastAsia" w:ascii="仿宋" w:hAnsi="仿宋" w:eastAsia="仿宋"/>
                <w:b/>
                <w:bCs/>
                <w:szCs w:val="21"/>
              </w:rPr>
              <w:t>天</w:t>
            </w:r>
            <w:r>
              <w:rPr>
                <w:rFonts w:hint="eastAsia" w:ascii="仿宋" w:hAnsi="仿宋" w:eastAsia="仿宋"/>
                <w:b/>
                <w:bCs/>
                <w:szCs w:val="21"/>
                <w:lang w:val="en-US" w:eastAsia="zh-CN"/>
              </w:rPr>
              <w:t>X新客专享</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eastAsia="宋体"/>
                <w:lang w:eastAsia="zh-CN"/>
              </w:rPr>
            </w:pPr>
            <w:r>
              <w:rPr>
                <w:rFonts w:hint="eastAsia" w:ascii="仿宋" w:hAnsi="仿宋" w:eastAsia="仿宋"/>
                <w:bCs/>
                <w:szCs w:val="21"/>
                <w:lang w:val="en-US" w:eastAsia="zh-CN"/>
              </w:rPr>
              <w:t>23121070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A份额代码：23121070A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w:t>
            </w:r>
            <w:r>
              <w:rPr>
                <w:rFonts w:hint="eastAsia" w:ascii="仿宋" w:hAnsi="仿宋" w:eastAsia="仿宋"/>
                <w:bCs/>
                <w:szCs w:val="21"/>
              </w:rPr>
              <w:t>份额代码：</w:t>
            </w:r>
            <w:r>
              <w:rPr>
                <w:rFonts w:hint="eastAsia" w:ascii="仿宋" w:hAnsi="仿宋" w:eastAsia="仿宋"/>
                <w:bCs/>
                <w:szCs w:val="21"/>
                <w:lang w:val="en-US" w:eastAsia="zh-CN"/>
              </w:rPr>
              <w:t>23121070C</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D</w:t>
            </w:r>
            <w:r>
              <w:rPr>
                <w:rFonts w:hint="eastAsia" w:ascii="仿宋" w:hAnsi="仿宋" w:eastAsia="仿宋"/>
                <w:bCs/>
                <w:szCs w:val="21"/>
              </w:rPr>
              <w:t>份额代码：</w:t>
            </w:r>
            <w:r>
              <w:rPr>
                <w:rFonts w:hint="eastAsia" w:ascii="仿宋" w:hAnsi="仿宋" w:eastAsia="仿宋"/>
                <w:bCs/>
                <w:szCs w:val="21"/>
                <w:lang w:val="en-US" w:eastAsia="zh-CN"/>
              </w:rPr>
              <w:t>23121070D</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X</w:t>
            </w:r>
            <w:r>
              <w:rPr>
                <w:rFonts w:hint="eastAsia" w:ascii="仿宋" w:hAnsi="仿宋" w:eastAsia="仿宋"/>
                <w:bCs/>
                <w:szCs w:val="21"/>
              </w:rPr>
              <w:t>份额代码：</w:t>
            </w:r>
            <w:r>
              <w:rPr>
                <w:rFonts w:hint="eastAsia" w:ascii="仿宋" w:hAnsi="仿宋" w:eastAsia="仿宋"/>
                <w:bCs/>
                <w:szCs w:val="21"/>
                <w:lang w:val="en-US" w:eastAsia="zh-CN"/>
              </w:rPr>
              <w:t>23121070X（面向华夏银行新客新资金）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Z7003923000070</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4.45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C</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4.35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;D</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4.20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;X</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4.48</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rPr>
              <w:t>以产品投资利率债仓位0-10%，信用债仓位70%-100%，非标债权类资产仓位0-30%，组合杠杆率100%-120%为例，参考剩余期限匹配的目标债券到期收益率、期限匹配的非标债权类资产目标收益率，结合产品期限匹配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bookmarkStart w:id="1" w:name="OLE_LINK3" w:colFirst="1" w:colLast="1"/>
            <w:bookmarkStart w:id="2" w:name="OLE_LINK2"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3</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8</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w:t>
            </w:r>
            <w:r>
              <w:rPr>
                <w:rFonts w:hint="eastAsia" w:ascii="仿宋" w:hAnsi="仿宋" w:eastAsia="仿宋"/>
                <w:bCs/>
                <w:szCs w:val="21"/>
                <w:lang w:val="en-US" w:eastAsia="zh-CN"/>
              </w:rPr>
              <w:t>3</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3</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293</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23</w:t>
            </w:r>
            <w:r>
              <w:rPr>
                <w:rFonts w:hint="eastAsia" w:ascii="仿宋" w:hAnsi="仿宋" w:eastAsia="仿宋"/>
                <w:bCs/>
                <w:szCs w:val="21"/>
              </w:rPr>
              <w:t>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5</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35</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w:t>
            </w:r>
            <w:bookmarkStart w:id="6" w:name="_GoBack"/>
            <w:bookmarkEnd w:id="6"/>
            <w:r>
              <w:rPr>
                <w:rFonts w:hint="eastAsia" w:ascii="仿宋" w:hAnsi="仿宋" w:eastAsia="仿宋"/>
                <w:b/>
                <w:bCs/>
                <w:szCs w:val="21"/>
              </w:rPr>
              <w:t>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lang w:eastAsia="zh-CN"/>
              </w:rPr>
            </w:pPr>
            <w:r>
              <w:rPr>
                <w:rFonts w:hint="eastAsia" w:ascii="仿宋" w:hAnsi="仿宋" w:eastAsia="仿宋" w:cs="Cambria"/>
                <w:bCs/>
                <w:szCs w:val="21"/>
                <w:lang w:val="en-US" w:eastAsia="zh-CN"/>
              </w:rPr>
              <w:t>A份额：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cs="Cambria"/>
                <w:bCs/>
                <w:szCs w:val="21"/>
                <w:lang w:val="en-US" w:eastAsia="zh-CN"/>
              </w:rPr>
              <w:t>C份额：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cs="Cambria"/>
                <w:bCs/>
                <w:szCs w:val="21"/>
                <w:lang w:val="en-US" w:eastAsia="zh-CN"/>
              </w:rPr>
              <w:t>D份额：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cs="Cambria"/>
                <w:bCs/>
                <w:szCs w:val="21"/>
                <w:lang w:val="en-US" w:eastAsia="zh-CN"/>
              </w:rPr>
              <w:t>X份额：</w:t>
            </w:r>
            <w:r>
              <w:rPr>
                <w:rFonts w:ascii="仿宋" w:hAnsi="仿宋" w:eastAsia="仿宋"/>
                <w:bCs/>
                <w:szCs w:val="21"/>
              </w:rPr>
              <w:t>认购起点金额</w:t>
            </w:r>
            <w:r>
              <w:rPr>
                <w:rFonts w:hint="eastAsia" w:ascii="仿宋" w:hAnsi="仿宋" w:eastAsia="仿宋"/>
                <w:bCs/>
                <w:szCs w:val="21"/>
                <w:lang w:val="en-US" w:eastAsia="zh-CN"/>
              </w:rPr>
              <w:t>1万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lang w:val="en-US" w:eastAsia="zh-CN"/>
              </w:rPr>
              <w:t>.</w:t>
            </w:r>
          </w:p>
          <w:p>
            <w:pPr>
              <w:adjustRightInd w:val="0"/>
              <w:snapToGrid w:val="0"/>
              <w:spacing w:line="240" w:lineRule="atLeast"/>
              <w:rPr>
                <w:rFonts w:ascii="仿宋" w:hAnsi="仿宋" w:eastAsia="仿宋"/>
              </w:rPr>
            </w:pPr>
            <w:r>
              <w:rPr>
                <w:rFonts w:hint="eastAsia" w:ascii="仿宋" w:hAnsi="仿宋" w:eastAsia="仿宋"/>
                <w:lang w:val="en-US" w:eastAsia="zh-CN"/>
              </w:rPr>
              <w:t xml:space="preserve">    </w:t>
            </w: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p>
            <w:pPr>
              <w:adjustRightInd w:val="0"/>
              <w:snapToGrid w:val="0"/>
              <w:spacing w:line="240" w:lineRule="atLeast"/>
              <w:ind w:firstLine="420" w:firstLineChars="200"/>
            </w:pPr>
            <w:r>
              <w:rPr>
                <w:rFonts w:hint="eastAsia" w:ascii="仿宋" w:hAnsi="仿宋" w:eastAsia="仿宋"/>
                <w:color w:val="auto"/>
                <w:lang w:val="en-US" w:eastAsia="zh-CN"/>
              </w:rPr>
              <w:t>最高持有限额要求：本理财产品单一投资者持有本产品份额数不得超过产品份额总数的50%。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firstLineChars="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w:t>
            </w:r>
            <w:r>
              <w:rPr>
                <w:rFonts w:hint="eastAsia" w:ascii="仿宋" w:hAnsi="仿宋" w:eastAsia="仿宋"/>
                <w:bCs/>
                <w:szCs w:val="21"/>
                <w:lang w:val="en-US" w:eastAsia="zh-CN"/>
              </w:rPr>
              <w:t xml:space="preserve"> 3 </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0"/>
            </w:pPr>
            <w:r>
              <w:rPr>
                <w:rFonts w:hint="eastAsia" w:ascii="仿宋" w:hAnsi="仿宋" w:eastAsia="仿宋"/>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0.03%/年，以前一日资产净值为基数，每日计提。公式如下：</w:t>
            </w:r>
          </w:p>
          <w:p>
            <w:pPr>
              <w:adjustRightInd w:val="0"/>
              <w:snapToGrid w:val="0"/>
              <w:spacing w:line="240" w:lineRule="auto"/>
              <w:ind w:firstLine="420" w:firstLineChars="0"/>
              <w:jc w:val="left"/>
            </w:pPr>
            <w:r>
              <w:rPr>
                <w:rFonts w:hint="eastAsia" w:ascii="仿宋" w:hAnsi="仿宋" w:eastAsia="仿宋"/>
                <w:bCs/>
                <w:szCs w:val="21"/>
              </w:rPr>
              <w:t>F=E×【0.03%】</w:t>
            </w:r>
            <w:r>
              <w:rPr>
                <w:rFonts w:hint="eastAsia" w:ascii="仿宋" w:hAnsi="仿宋" w:eastAsia="仿宋"/>
                <w:szCs w:val="21"/>
              </w:rPr>
              <w:t>/当年天数。</w:t>
            </w:r>
            <w:r>
              <w:rPr>
                <w:rFonts w:hint="eastAsia" w:ascii="仿宋" w:hAnsi="仿宋" w:eastAsia="仿宋"/>
                <w:bCs/>
                <w:szCs w:val="21"/>
              </w:rPr>
              <w:t>F为托管费；E为计算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A份额：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05</w:t>
            </w:r>
            <w:r>
              <w:rPr>
                <w:rFonts w:hint="eastAsia" w:ascii="仿宋" w:hAnsi="仿宋" w:eastAsia="仿宋"/>
                <w:bCs/>
                <w:szCs w:val="21"/>
              </w:rPr>
              <w:t>%/年，以前一日资产净值为基数，每日计提。</w:t>
            </w:r>
          </w:p>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C份额：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15</w:t>
            </w:r>
            <w:r>
              <w:rPr>
                <w:rFonts w:hint="eastAsia" w:ascii="仿宋" w:hAnsi="仿宋" w:eastAsia="仿宋"/>
                <w:bCs/>
                <w:szCs w:val="21"/>
              </w:rPr>
              <w:t>%/年，以前一日资产净值为基数，每日计提。</w:t>
            </w:r>
          </w:p>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D份额：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.30</w:t>
            </w:r>
            <w:r>
              <w:rPr>
                <w:rFonts w:hint="eastAsia" w:ascii="仿宋" w:hAnsi="仿宋" w:eastAsia="仿宋"/>
                <w:bCs/>
                <w:szCs w:val="21"/>
              </w:rPr>
              <w:t>%/年，以前一日资产净值为基数，每日计提。</w:t>
            </w:r>
          </w:p>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X份额：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02</w:t>
            </w:r>
            <w:r>
              <w:rPr>
                <w:rFonts w:hint="eastAsia" w:ascii="仿宋" w:hAnsi="仿宋" w:eastAsia="仿宋"/>
                <w:bCs/>
                <w:szCs w:val="21"/>
              </w:rPr>
              <w:t>%/年，以前一日资产净值为基数，每日计提。</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公式如下：</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F=E×【各</w:t>
            </w:r>
            <w:r>
              <w:rPr>
                <w:rFonts w:ascii="仿宋" w:hAnsi="仿宋" w:eastAsia="仿宋"/>
                <w:bCs/>
                <w:szCs w:val="21"/>
              </w:rPr>
              <w:t>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F为各</w:t>
            </w:r>
            <w:r>
              <w:rPr>
                <w:rFonts w:ascii="仿宋" w:hAnsi="仿宋" w:eastAsia="仿宋"/>
                <w:bCs/>
                <w:szCs w:val="21"/>
              </w:rPr>
              <w:t>份额</w:t>
            </w:r>
            <w:r>
              <w:rPr>
                <w:rFonts w:hint="eastAsia" w:ascii="仿宋" w:hAnsi="仿宋" w:eastAsia="仿宋"/>
                <w:bCs/>
                <w:szCs w:val="21"/>
              </w:rPr>
              <w:t>销售</w:t>
            </w:r>
            <w:r>
              <w:rPr>
                <w:rFonts w:ascii="仿宋" w:hAnsi="仿宋" w:eastAsia="仿宋"/>
                <w:bCs/>
                <w:szCs w:val="21"/>
              </w:rPr>
              <w:t>手续费</w:t>
            </w:r>
            <w:r>
              <w:rPr>
                <w:rFonts w:hint="eastAsia" w:ascii="仿宋" w:hAnsi="仿宋" w:eastAsia="仿宋"/>
                <w:bCs/>
                <w:szCs w:val="21"/>
              </w:rPr>
              <w:t>；E为计算</w:t>
            </w:r>
            <w:r>
              <w:rPr>
                <w:rFonts w:ascii="仿宋" w:hAnsi="仿宋" w:eastAsia="仿宋"/>
                <w:bCs/>
                <w:szCs w:val="21"/>
              </w:rPr>
              <w:t>基数</w:t>
            </w:r>
            <w:r>
              <w:rPr>
                <w:rFonts w:hint="eastAsia" w:ascii="仿宋" w:hAnsi="仿宋" w:eastAsia="仿宋"/>
                <w:bCs/>
                <w:szCs w:val="21"/>
              </w:rPr>
              <w:t>。</w:t>
            </w:r>
          </w:p>
          <w:p>
            <w:pPr>
              <w:adjustRightInd w:val="0"/>
              <w:snapToGrid w:val="0"/>
              <w:spacing w:line="300" w:lineRule="exact"/>
              <w:ind w:firstLine="420" w:firstLineChars="0"/>
              <w:jc w:val="left"/>
            </w:pPr>
            <w:r>
              <w:rPr>
                <w:rFonts w:hint="eastAsia" w:ascii="仿宋" w:hAnsi="仿宋" w:eastAsia="仿宋"/>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ascii="仿宋" w:hAnsi="仿宋" w:eastAsia="仿宋"/>
                <w:bCs/>
                <w:szCs w:val="21"/>
              </w:rPr>
              <w:t>0.</w:t>
            </w:r>
            <w:r>
              <w:rPr>
                <w:rFonts w:hint="eastAsia" w:ascii="仿宋" w:hAnsi="仿宋" w:eastAsia="仿宋"/>
                <w:bCs/>
                <w:szCs w:val="21"/>
                <w:lang w:val="en-US" w:eastAsia="zh-CN"/>
              </w:rPr>
              <w:t>05</w:t>
            </w:r>
            <w:r>
              <w:rPr>
                <w:rFonts w:hint="eastAsia" w:ascii="仿宋" w:hAnsi="仿宋" w:eastAsia="仿宋"/>
                <w:bCs/>
                <w:szCs w:val="21"/>
              </w:rPr>
              <w:t>%/年，以前一日资产净值为基数，每日计提。公式如下：</w:t>
            </w:r>
          </w:p>
          <w:p>
            <w:pPr>
              <w:adjustRightInd w:val="0"/>
              <w:snapToGrid w:val="0"/>
              <w:spacing w:line="300" w:lineRule="exact"/>
              <w:ind w:firstLine="420" w:firstLineChars="0"/>
            </w:pPr>
            <w:r>
              <w:rPr>
                <w:rFonts w:hint="eastAsia" w:ascii="仿宋" w:hAnsi="仿宋" w:eastAsia="仿宋"/>
                <w:bCs/>
                <w:szCs w:val="21"/>
              </w:rPr>
              <w:t>F=E×【</w:t>
            </w:r>
            <w:r>
              <w:rPr>
                <w:rFonts w:hint="eastAsia" w:ascii="仿宋" w:hAnsi="仿宋" w:eastAsia="仿宋"/>
                <w:bCs/>
                <w:szCs w:val="21"/>
                <w:lang w:val="en-US" w:eastAsia="zh-CN"/>
              </w:rPr>
              <w:t>0.05%</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F为固定管理费；E为计算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A份额超额管理费计提基准为</w:t>
            </w:r>
            <w:r>
              <w:rPr>
                <w:rFonts w:hint="eastAsia" w:ascii="仿宋" w:hAnsi="仿宋" w:eastAsia="仿宋" w:cs="Cambria"/>
                <w:bCs/>
                <w:szCs w:val="21"/>
                <w:lang w:val="en-US" w:eastAsia="zh-CN"/>
              </w:rPr>
              <w:t>4.45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C</w:t>
            </w:r>
            <w:r>
              <w:rPr>
                <w:rFonts w:hint="eastAsia" w:ascii="仿宋" w:hAnsi="仿宋" w:eastAsia="仿宋" w:cs="Cambria"/>
                <w:bCs/>
                <w:szCs w:val="21"/>
              </w:rPr>
              <w:t>份额超额管理费计提基准为</w:t>
            </w:r>
            <w:r>
              <w:rPr>
                <w:rFonts w:hint="eastAsia" w:ascii="仿宋" w:hAnsi="仿宋" w:eastAsia="仿宋"/>
                <w:bCs/>
                <w:szCs w:val="21"/>
                <w:lang w:val="en-US" w:eastAsia="zh-CN"/>
              </w:rPr>
              <w:t>4.35</w:t>
            </w:r>
            <w:r>
              <w:rPr>
                <w:rFonts w:ascii="仿宋" w:hAnsi="仿宋" w:eastAsia="仿宋"/>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;D</w:t>
            </w:r>
            <w:r>
              <w:rPr>
                <w:rFonts w:hint="eastAsia" w:ascii="仿宋" w:hAnsi="仿宋" w:eastAsia="仿宋" w:cs="Cambria"/>
                <w:bCs/>
                <w:szCs w:val="21"/>
              </w:rPr>
              <w:t>份额超额管理费计提基准为</w:t>
            </w:r>
            <w:r>
              <w:rPr>
                <w:rFonts w:hint="eastAsia" w:ascii="仿宋" w:hAnsi="仿宋" w:eastAsia="仿宋" w:cs="Cambria"/>
                <w:bCs/>
                <w:szCs w:val="21"/>
                <w:lang w:val="en-US" w:eastAsia="zh-CN"/>
              </w:rPr>
              <w:t>4.20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X</w:t>
            </w:r>
            <w:r>
              <w:rPr>
                <w:rFonts w:hint="eastAsia" w:ascii="仿宋" w:hAnsi="仿宋" w:eastAsia="仿宋" w:cs="Cambria"/>
                <w:bCs/>
                <w:szCs w:val="21"/>
              </w:rPr>
              <w:t>份额超额管理费计提基准为</w:t>
            </w:r>
            <w:r>
              <w:rPr>
                <w:rFonts w:hint="eastAsia" w:ascii="仿宋" w:hAnsi="仿宋" w:eastAsia="仿宋"/>
                <w:bCs/>
                <w:szCs w:val="21"/>
                <w:lang w:val="en-US" w:eastAsia="zh-CN"/>
              </w:rPr>
              <w:t>4.48</w:t>
            </w:r>
            <w:r>
              <w:rPr>
                <w:rFonts w:ascii="仿宋" w:hAnsi="仿宋" w:eastAsia="仿宋"/>
                <w:bCs/>
                <w:szCs w:val="21"/>
              </w:rPr>
              <w:t>%</w:t>
            </w:r>
            <w:r>
              <w:rPr>
                <w:rFonts w:hint="eastAsia" w:ascii="仿宋" w:hAnsi="仿宋" w:eastAsia="仿宋" w:cs="Cambria"/>
                <w:bCs/>
                <w:szCs w:val="21"/>
              </w:rPr>
              <w:t>（年化）。</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本产品超额管理费的计算公式：</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其中：</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年化收益率=（计提日累计单位净值-1.0000）÷1.0000×365÷当期持有天数。</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firstLineChars="0"/>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0"/>
              <w:jc w:val="left"/>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numPr>
          <w:ilvl w:val="0"/>
          <w:numId w:val="1"/>
        </w:numPr>
        <w:snapToGrid w:val="0"/>
        <w:spacing w:before="156" w:beforeLines="50" w:after="156" w:afterLines="50" w:line="400" w:lineRule="exact"/>
        <w:ind w:firstLine="482" w:firstLineChars="200"/>
        <w:jc w:val="both"/>
        <w:outlineLvl w:val="0"/>
        <w:rPr>
          <w:rFonts w:hint="eastAsia" w:ascii="Times New Roman" w:eastAsia="黑体" w:cs="Times New Roman"/>
          <w:b/>
          <w:color w:val="auto"/>
          <w:lang w:val="en-US" w:eastAsia="zh-CN"/>
        </w:rPr>
      </w:pPr>
      <w:r>
        <w:rPr>
          <w:rFonts w:ascii="Times New Roman" w:eastAsia="黑体" w:cs="Times New Roman"/>
          <w:b/>
          <w:color w:val="auto"/>
        </w:rPr>
        <w:t>投资</w:t>
      </w:r>
      <w:r>
        <w:rPr>
          <w:rFonts w:hint="eastAsia" w:ascii="Times New Roman" w:eastAsia="黑体" w:cs="Times New Roman"/>
          <w:b/>
          <w:color w:val="auto"/>
          <w:lang w:val="en-US" w:eastAsia="zh-CN"/>
        </w:rPr>
        <w:t>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本产品投资资产期限和产品期限相匹配，以获得固定收益类资产票息为主要投资目标。</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firstLineChars="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3"/>
        <w:tblW w:w="7900" w:type="dxa"/>
        <w:tblCellSpacing w:w="0" w:type="dxa"/>
        <w:tblInd w:w="107"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762"/>
        <w:gridCol w:w="5138"/>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固定收益类</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firstLineChars="0"/>
        <w:contextualSpacing/>
        <w:rPr>
          <w:rFonts w:hint="eastAsia" w:ascii="仿宋" w:hAnsi="仿宋" w:eastAsia="仿宋" w:cs="宋体"/>
          <w:kern w:val="0"/>
          <w:sz w:val="24"/>
          <w:lang w:val="en-US" w:eastAsia="zh-CN"/>
        </w:rPr>
      </w:pPr>
      <w:r>
        <w:rPr>
          <w:rFonts w:hint="eastAsia" w:ascii="仿宋" w:hAnsi="仿宋" w:eastAsia="仿宋" w:cs="宋体"/>
          <w:kern w:val="0"/>
          <w:sz w:val="24"/>
          <w:lang w:val="en-US" w:eastAsia="zh-CN"/>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eastAsia="zh-CN"/>
        </w:rPr>
        <w:t>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hint="eastAsia"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2112637">
    <w:nsid w:val="63AA69FD"/>
    <w:multiLevelType w:val="singleLevel"/>
    <w:tmpl w:val="63AA69FD"/>
    <w:lvl w:ilvl="0" w:tentative="1">
      <w:start w:val="2"/>
      <w:numFmt w:val="chineseCounting"/>
      <w:suff w:val="nothing"/>
      <w:lvlText w:val="%1、"/>
      <w:lvlJc w:val="left"/>
    </w:lvl>
  </w:abstractNum>
  <w:num w:numId="1">
    <w:abstractNumId w:val="16721126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D3600BA"/>
    <w:rsid w:val="0DD32259"/>
    <w:rsid w:val="0E73282A"/>
    <w:rsid w:val="0EF43DB9"/>
    <w:rsid w:val="0F850895"/>
    <w:rsid w:val="102F133E"/>
    <w:rsid w:val="10510955"/>
    <w:rsid w:val="10987645"/>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825A05"/>
    <w:rsid w:val="17A26163"/>
    <w:rsid w:val="17D31FDC"/>
    <w:rsid w:val="17D76C2B"/>
    <w:rsid w:val="17F8769D"/>
    <w:rsid w:val="18041AB4"/>
    <w:rsid w:val="1812072F"/>
    <w:rsid w:val="190F268E"/>
    <w:rsid w:val="19287585"/>
    <w:rsid w:val="19610BFF"/>
    <w:rsid w:val="19953307"/>
    <w:rsid w:val="19A07D04"/>
    <w:rsid w:val="1AB13D5A"/>
    <w:rsid w:val="1B1D7B8C"/>
    <w:rsid w:val="1B2C6F2C"/>
    <w:rsid w:val="1B5D5F33"/>
    <w:rsid w:val="1BA24967"/>
    <w:rsid w:val="1BAF6A57"/>
    <w:rsid w:val="1BCE5D96"/>
    <w:rsid w:val="1BDE2098"/>
    <w:rsid w:val="1BE069CA"/>
    <w:rsid w:val="1C465E86"/>
    <w:rsid w:val="1C470F75"/>
    <w:rsid w:val="1C726314"/>
    <w:rsid w:val="1C8B0511"/>
    <w:rsid w:val="1CE252F3"/>
    <w:rsid w:val="1D104FDC"/>
    <w:rsid w:val="1D117096"/>
    <w:rsid w:val="1DE516B8"/>
    <w:rsid w:val="1E047274"/>
    <w:rsid w:val="1E433C85"/>
    <w:rsid w:val="1ED877DF"/>
    <w:rsid w:val="1F0B3DFE"/>
    <w:rsid w:val="1F5522A7"/>
    <w:rsid w:val="1FD45CE1"/>
    <w:rsid w:val="1FF41399"/>
    <w:rsid w:val="21433609"/>
    <w:rsid w:val="214D162F"/>
    <w:rsid w:val="22171129"/>
    <w:rsid w:val="222D0D62"/>
    <w:rsid w:val="22551E62"/>
    <w:rsid w:val="227D729C"/>
    <w:rsid w:val="2350568B"/>
    <w:rsid w:val="237F35E5"/>
    <w:rsid w:val="239D52BC"/>
    <w:rsid w:val="23A50D24"/>
    <w:rsid w:val="23E44373"/>
    <w:rsid w:val="242806AA"/>
    <w:rsid w:val="24392A65"/>
    <w:rsid w:val="2467066D"/>
    <w:rsid w:val="24E91956"/>
    <w:rsid w:val="252E26F1"/>
    <w:rsid w:val="25C3267A"/>
    <w:rsid w:val="25D568B4"/>
    <w:rsid w:val="25F33B9E"/>
    <w:rsid w:val="260C731E"/>
    <w:rsid w:val="26103F21"/>
    <w:rsid w:val="27914154"/>
    <w:rsid w:val="27C604DA"/>
    <w:rsid w:val="27EA63D1"/>
    <w:rsid w:val="287A5D0E"/>
    <w:rsid w:val="28B05EE9"/>
    <w:rsid w:val="28D30187"/>
    <w:rsid w:val="28E571A8"/>
    <w:rsid w:val="294C4E21"/>
    <w:rsid w:val="296D4B02"/>
    <w:rsid w:val="29D46607"/>
    <w:rsid w:val="2A103412"/>
    <w:rsid w:val="2A1E1418"/>
    <w:rsid w:val="2A770C99"/>
    <w:rsid w:val="2BBB2833"/>
    <w:rsid w:val="2BC42334"/>
    <w:rsid w:val="2C1011CD"/>
    <w:rsid w:val="2C40390A"/>
    <w:rsid w:val="2C4C703B"/>
    <w:rsid w:val="2CE37AF2"/>
    <w:rsid w:val="2D241337"/>
    <w:rsid w:val="2D753D30"/>
    <w:rsid w:val="2DB6436A"/>
    <w:rsid w:val="2DC02129"/>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223BC"/>
    <w:rsid w:val="32FF7EB7"/>
    <w:rsid w:val="33424079"/>
    <w:rsid w:val="34126396"/>
    <w:rsid w:val="345E593B"/>
    <w:rsid w:val="34605A84"/>
    <w:rsid w:val="346C230B"/>
    <w:rsid w:val="35034F52"/>
    <w:rsid w:val="352C602C"/>
    <w:rsid w:val="35820877"/>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D30A6"/>
    <w:rsid w:val="42F60353"/>
    <w:rsid w:val="438556A7"/>
    <w:rsid w:val="43A6228A"/>
    <w:rsid w:val="449B7167"/>
    <w:rsid w:val="44CC2C77"/>
    <w:rsid w:val="4524487F"/>
    <w:rsid w:val="45AE3786"/>
    <w:rsid w:val="45CC078F"/>
    <w:rsid w:val="466B6F06"/>
    <w:rsid w:val="46860155"/>
    <w:rsid w:val="473C7E58"/>
    <w:rsid w:val="476049FD"/>
    <w:rsid w:val="47802A85"/>
    <w:rsid w:val="478E5A0F"/>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DD4EDE"/>
    <w:rsid w:val="4EE45C33"/>
    <w:rsid w:val="4EED4C04"/>
    <w:rsid w:val="4F323CFA"/>
    <w:rsid w:val="50081263"/>
    <w:rsid w:val="500C5A60"/>
    <w:rsid w:val="50461117"/>
    <w:rsid w:val="509A5F14"/>
    <w:rsid w:val="51954E8A"/>
    <w:rsid w:val="519B5496"/>
    <w:rsid w:val="52667895"/>
    <w:rsid w:val="52B20439"/>
    <w:rsid w:val="53735224"/>
    <w:rsid w:val="537D24F6"/>
    <w:rsid w:val="543C05E0"/>
    <w:rsid w:val="54B9651A"/>
    <w:rsid w:val="54F9389F"/>
    <w:rsid w:val="55222910"/>
    <w:rsid w:val="55643FAD"/>
    <w:rsid w:val="55777CC8"/>
    <w:rsid w:val="559032FC"/>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A97C90"/>
    <w:rsid w:val="5AE4319D"/>
    <w:rsid w:val="5B2B6EDA"/>
    <w:rsid w:val="5C7E5C8C"/>
    <w:rsid w:val="5CE90207"/>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CC44798"/>
    <w:rsid w:val="6D157AE9"/>
    <w:rsid w:val="6D2E7D50"/>
    <w:rsid w:val="6D9938C6"/>
    <w:rsid w:val="6DD90E21"/>
    <w:rsid w:val="6DE0162F"/>
    <w:rsid w:val="6DFA3383"/>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385547"/>
    <w:rsid w:val="754F1383"/>
    <w:rsid w:val="75DC198B"/>
    <w:rsid w:val="75E25A77"/>
    <w:rsid w:val="762A07F6"/>
    <w:rsid w:val="764A2B58"/>
    <w:rsid w:val="76661B90"/>
    <w:rsid w:val="77731DCC"/>
    <w:rsid w:val="77B301A9"/>
    <w:rsid w:val="77BE7190"/>
    <w:rsid w:val="77D83AB0"/>
    <w:rsid w:val="77F43C8B"/>
    <w:rsid w:val="77FA47E4"/>
    <w:rsid w:val="78F759E0"/>
    <w:rsid w:val="78FB1E09"/>
    <w:rsid w:val="79802062"/>
    <w:rsid w:val="79B00633"/>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 w:val="7FF72CDB"/>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13">
    <w:name w:val="Normal Table"/>
    <w:unhideWhenUsed/>
    <w:qFormat/>
    <w:uiPriority w:val="99"/>
    <w:tblPr>
      <w:tblStyle w:val="13"/>
      <w:tblLayout w:type="fixed"/>
      <w:tblCellMar>
        <w:top w:w="0" w:type="dxa"/>
        <w:left w:w="108" w:type="dxa"/>
        <w:bottom w:w="0" w:type="dxa"/>
        <w:right w:w="108" w:type="dxa"/>
      </w:tblCellMar>
    </w:tblPr>
    <w:tcPr>
      <w:textDirection w:val="lrTb"/>
    </w:tcPr>
  </w:style>
  <w:style w:type="paragraph" w:styleId="2">
    <w:name w:val="annotation subject"/>
    <w:basedOn w:val="3"/>
    <w:next w:val="3"/>
    <w:link w:val="17"/>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8">
    <w:name w:val="Normal (Web)"/>
    <w:basedOn w:val="1"/>
    <w:uiPriority w:val="0"/>
    <w:pPr>
      <w:spacing w:before="0" w:beforeAutospacing="1" w:after="0" w:afterAutospacing="1"/>
      <w:ind w:left="0" w:right="0"/>
      <w:jc w:val="left"/>
    </w:pPr>
    <w:rPr>
      <w:kern w:val="0"/>
      <w:sz w:val="24"/>
      <w:lang w:val="en-US" w:eastAsia="zh-CN" w:bidi="ar-SA"/>
    </w:rPr>
  </w:style>
  <w:style w:type="character" w:styleId="10">
    <w:name w:val="FollowedHyperlink"/>
    <w:basedOn w:val="9"/>
    <w:uiPriority w:val="0"/>
    <w:rPr>
      <w:color w:val="000000"/>
      <w:u w:val="none"/>
    </w:rPr>
  </w:style>
  <w:style w:type="character" w:styleId="11">
    <w:name w:val="Hyperlink"/>
    <w:basedOn w:val="9"/>
    <w:uiPriority w:val="0"/>
    <w:rPr>
      <w:color w:val="000000"/>
      <w:u w:val="none"/>
    </w:rPr>
  </w:style>
  <w:style w:type="character" w:styleId="12">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5">
    <w:name w:val=""/>
    <w:basedOn w:val="1"/>
    <w:next w:val="1"/>
    <w:uiPriority w:val="0"/>
    <w:pPr>
      <w:pBdr>
        <w:top w:val="single" w:color="auto" w:sz="6" w:space="1"/>
      </w:pBdr>
      <w:jc w:val="center"/>
    </w:pPr>
    <w:rPr>
      <w:rFonts w:ascii="Arial" w:eastAsia="宋体"/>
      <w:vanish/>
      <w:sz w:val="16"/>
    </w:rPr>
  </w:style>
  <w:style w:type="character" w:customStyle="1" w:styleId="16">
    <w:name w:val="批注文字 Char"/>
    <w:link w:val="3"/>
    <w:qFormat/>
    <w:uiPriority w:val="0"/>
    <w:rPr>
      <w:kern w:val="2"/>
      <w:sz w:val="21"/>
      <w:szCs w:val="24"/>
    </w:rPr>
  </w:style>
  <w:style w:type="character" w:customStyle="1" w:styleId="17">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2485</Words>
  <Characters>14171</Characters>
  <Lines>118</Lines>
  <Paragraphs>33</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2022-07-29T05:59:00Z</dcterms:created>
  <dc:creator>ylh;陈晓飞</dc:creator>
  <cp:keywords>22Y8</cp:keywords>
  <cp:lastModifiedBy>王玥晖</cp:lastModifiedBy>
  <cp:lastPrinted>2021-07-21T07:06:00Z</cp:lastPrinted>
  <dcterms:modified xsi:type="dcterms:W3CDTF">2023-01-31T01:58:27Z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