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eastAsia="黑体"/>
          <w:bCs/>
          <w:sz w:val="36"/>
          <w:szCs w:val="36"/>
        </w:rPr>
      </w:pPr>
      <w:r>
        <w:rPr>
          <w:rFonts w:hint="eastAsia" w:eastAsia="黑体"/>
          <w:bCs/>
          <w:sz w:val="36"/>
          <w:szCs w:val="36"/>
        </w:rPr>
        <w:t>华夏理财固定收益债权型封闭式理财产品</w:t>
      </w:r>
      <w:r>
        <w:rPr>
          <w:rFonts w:hint="eastAsia" w:eastAsia="黑体"/>
          <w:bCs/>
          <w:sz w:val="36"/>
          <w:szCs w:val="36"/>
          <w:lang w:val="en-US" w:eastAsia="zh-CN"/>
        </w:rPr>
        <w:t>77</w:t>
      </w:r>
      <w:r>
        <w:rPr>
          <w:rFonts w:hint="eastAsia" w:eastAsia="黑体"/>
          <w:bCs/>
          <w:sz w:val="36"/>
          <w:szCs w:val="36"/>
        </w:rPr>
        <w:t>号</w:t>
      </w:r>
    </w:p>
    <w:p>
      <w:pPr>
        <w:pStyle w:val="4"/>
        <w:widowControl/>
        <w:spacing w:line="240" w:lineRule="auto"/>
        <w:ind w:firstLine="0"/>
        <w:jc w:val="center"/>
        <w:rPr>
          <w:rFonts w:eastAsia="黑体"/>
          <w:bCs/>
          <w:sz w:val="36"/>
          <w:szCs w:val="36"/>
        </w:rPr>
      </w:pPr>
      <w:r>
        <w:rPr>
          <w:rFonts w:hint="eastAsia" w:eastAsia="黑体"/>
          <w:bCs/>
          <w:sz w:val="36"/>
          <w:szCs w:val="36"/>
        </w:rPr>
        <w:t>说明书</w:t>
      </w:r>
    </w:p>
    <w:tbl>
      <w:tblPr>
        <w:tblStyle w:val="10"/>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1"/>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0"/>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华夏理财固定收益债权型封闭式理财产品</w:t>
            </w:r>
            <w:r>
              <w:rPr>
                <w:rFonts w:hint="eastAsia" w:ascii="仿宋" w:hAnsi="仿宋" w:eastAsia="仿宋"/>
                <w:b/>
                <w:bCs/>
                <w:szCs w:val="21"/>
                <w:lang w:val="en-US" w:eastAsia="zh-CN"/>
              </w:rPr>
              <w:t>77</w:t>
            </w:r>
            <w:r>
              <w:rPr>
                <w:rFonts w:hint="eastAsia" w:ascii="仿宋" w:hAnsi="仿宋" w:eastAsia="仿宋"/>
                <w:b/>
                <w:bCs/>
                <w:szCs w:val="21"/>
              </w:rPr>
              <w:t>号</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A份额简称：“华夏理财固收债权封闭式</w:t>
            </w:r>
            <w:r>
              <w:rPr>
                <w:rFonts w:hint="eastAsia" w:ascii="仿宋" w:hAnsi="仿宋" w:eastAsia="仿宋"/>
                <w:b/>
                <w:bCs/>
                <w:szCs w:val="21"/>
                <w:lang w:val="en-US" w:eastAsia="zh-CN"/>
              </w:rPr>
              <w:t>77</w:t>
            </w:r>
            <w:r>
              <w:rPr>
                <w:rFonts w:hint="eastAsia" w:ascii="仿宋" w:hAnsi="仿宋" w:eastAsia="仿宋"/>
                <w:b/>
                <w:bCs/>
                <w:szCs w:val="21"/>
              </w:rPr>
              <w:t>号11</w:t>
            </w:r>
            <w:r>
              <w:rPr>
                <w:rFonts w:hint="eastAsia" w:ascii="仿宋" w:hAnsi="仿宋" w:eastAsia="仿宋"/>
                <w:b/>
                <w:bCs/>
                <w:szCs w:val="21"/>
                <w:lang w:val="en-US" w:eastAsia="zh-CN"/>
              </w:rPr>
              <w:t>1</w:t>
            </w:r>
            <w:r>
              <w:rPr>
                <w:rFonts w:hint="eastAsia" w:ascii="仿宋" w:hAnsi="仿宋" w:eastAsia="仿宋"/>
                <w:b/>
                <w:bCs/>
                <w:szCs w:val="21"/>
              </w:rPr>
              <w:t>天A”</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B份额简称：“华夏理财固收债权封闭式</w:t>
            </w:r>
            <w:r>
              <w:rPr>
                <w:rFonts w:hint="eastAsia" w:ascii="仿宋" w:hAnsi="仿宋" w:eastAsia="仿宋"/>
                <w:b/>
                <w:bCs/>
                <w:szCs w:val="21"/>
                <w:lang w:val="en-US" w:eastAsia="zh-CN"/>
              </w:rPr>
              <w:t>77</w:t>
            </w:r>
            <w:r>
              <w:rPr>
                <w:rFonts w:hint="eastAsia" w:ascii="仿宋" w:hAnsi="仿宋" w:eastAsia="仿宋"/>
                <w:b/>
                <w:bCs/>
                <w:szCs w:val="21"/>
              </w:rPr>
              <w:t>号11</w:t>
            </w:r>
            <w:r>
              <w:rPr>
                <w:rFonts w:hint="eastAsia" w:ascii="仿宋" w:hAnsi="仿宋" w:eastAsia="仿宋"/>
                <w:b/>
                <w:bCs/>
                <w:szCs w:val="21"/>
                <w:lang w:val="en-US" w:eastAsia="zh-CN"/>
              </w:rPr>
              <w:t>1</w:t>
            </w:r>
            <w:r>
              <w:rPr>
                <w:rFonts w:hint="eastAsia" w:ascii="仿宋" w:hAnsi="仿宋" w:eastAsia="仿宋"/>
                <w:b/>
                <w:bCs/>
                <w:szCs w:val="21"/>
              </w:rPr>
              <w:t>天B”</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C份额简称：“华夏理财固收债权封闭式</w:t>
            </w:r>
            <w:r>
              <w:rPr>
                <w:rFonts w:hint="eastAsia" w:ascii="仿宋" w:hAnsi="仿宋" w:eastAsia="仿宋"/>
                <w:b/>
                <w:bCs/>
                <w:szCs w:val="21"/>
                <w:lang w:val="en-US" w:eastAsia="zh-CN"/>
              </w:rPr>
              <w:t>77</w:t>
            </w:r>
            <w:r>
              <w:rPr>
                <w:rFonts w:hint="eastAsia" w:ascii="仿宋" w:hAnsi="仿宋" w:eastAsia="仿宋"/>
                <w:b/>
                <w:bCs/>
                <w:szCs w:val="21"/>
              </w:rPr>
              <w:t>号11</w:t>
            </w:r>
            <w:r>
              <w:rPr>
                <w:rFonts w:hint="eastAsia" w:ascii="仿宋" w:hAnsi="仿宋" w:eastAsia="仿宋"/>
                <w:b/>
                <w:bCs/>
                <w:szCs w:val="21"/>
                <w:lang w:val="en-US" w:eastAsia="zh-CN"/>
              </w:rPr>
              <w:t>1</w:t>
            </w:r>
            <w:r>
              <w:rPr>
                <w:rFonts w:hint="eastAsia" w:ascii="仿宋" w:hAnsi="仿宋" w:eastAsia="仿宋"/>
                <w:b/>
                <w:bCs/>
                <w:szCs w:val="21"/>
              </w:rPr>
              <w:t>天C”</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23121077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A份额代码：23121077A</w:t>
            </w:r>
          </w:p>
          <w:p>
            <w:pPr>
              <w:adjustRightInd w:val="0"/>
              <w:snapToGrid w:val="0"/>
              <w:spacing w:line="300" w:lineRule="exact"/>
              <w:jc w:val="center"/>
              <w:rPr>
                <w:rFonts w:ascii="仿宋" w:hAnsi="仿宋" w:eastAsia="仿宋"/>
                <w:bCs/>
                <w:szCs w:val="21"/>
              </w:rPr>
            </w:pPr>
            <w:r>
              <w:rPr>
                <w:rFonts w:hint="eastAsia" w:ascii="仿宋" w:hAnsi="仿宋" w:eastAsia="仿宋"/>
                <w:bCs/>
                <w:szCs w:val="21"/>
              </w:rPr>
              <w:t>B份额代码：23121077B</w:t>
            </w:r>
          </w:p>
          <w:p>
            <w:pPr>
              <w:adjustRightInd w:val="0"/>
              <w:snapToGrid w:val="0"/>
              <w:spacing w:line="300" w:lineRule="exact"/>
              <w:jc w:val="center"/>
              <w:rPr>
                <w:rFonts w:ascii="仿宋" w:hAnsi="仿宋" w:eastAsia="仿宋"/>
                <w:bCs/>
                <w:szCs w:val="21"/>
              </w:rPr>
            </w:pPr>
            <w:r>
              <w:rPr>
                <w:rFonts w:hint="eastAsia" w:ascii="仿宋" w:hAnsi="仿宋" w:eastAsia="仿宋"/>
                <w:bCs/>
                <w:szCs w:val="21"/>
              </w:rPr>
              <w:t>C份额代码：23121077C</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Z7003923000092</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A份额：业绩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2.90</w:t>
            </w:r>
            <w:r>
              <w:rPr>
                <w:rFonts w:ascii="仿宋" w:hAnsi="仿宋" w:eastAsia="仿宋" w:cs="Cambria"/>
                <w:bCs/>
                <w:szCs w:val="21"/>
              </w:rPr>
              <w:t>%</w:t>
            </w:r>
            <w:r>
              <w:rPr>
                <w:rFonts w:hint="eastAsia" w:ascii="仿宋" w:hAnsi="仿宋" w:eastAsia="仿宋" w:cs="Cambria"/>
                <w:bCs/>
                <w:szCs w:val="21"/>
              </w:rPr>
              <w:t>（年化）;B份额：业绩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2.</w:t>
            </w:r>
            <w:r>
              <w:rPr>
                <w:rFonts w:hint="eastAsia" w:ascii="仿宋" w:hAnsi="仿宋" w:eastAsia="仿宋" w:cs="Cambria"/>
                <w:bCs/>
                <w:szCs w:val="21"/>
                <w:lang w:val="en-US" w:eastAsia="zh-CN"/>
              </w:rPr>
              <w:t>85</w:t>
            </w:r>
            <w:r>
              <w:rPr>
                <w:rFonts w:ascii="仿宋" w:hAnsi="仿宋" w:eastAsia="仿宋" w:cs="Cambria"/>
                <w:bCs/>
                <w:szCs w:val="21"/>
              </w:rPr>
              <w:t>%</w:t>
            </w:r>
            <w:r>
              <w:rPr>
                <w:rFonts w:hint="eastAsia" w:ascii="仿宋" w:hAnsi="仿宋" w:eastAsia="仿宋" w:cs="Cambria"/>
                <w:bCs/>
                <w:szCs w:val="21"/>
              </w:rPr>
              <w:t>（年化）;C份额：业绩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2.</w:t>
            </w:r>
            <w:r>
              <w:rPr>
                <w:rFonts w:hint="eastAsia" w:ascii="仿宋" w:hAnsi="仿宋" w:eastAsia="仿宋" w:cs="Cambria"/>
                <w:bCs/>
                <w:szCs w:val="21"/>
                <w:lang w:val="en-US" w:eastAsia="zh-CN"/>
              </w:rPr>
              <w:t>75</w:t>
            </w:r>
            <w:r>
              <w:rPr>
                <w:rFonts w:ascii="仿宋" w:hAnsi="仿宋" w:eastAsia="仿宋" w:cs="Cambria"/>
                <w:bCs/>
                <w:szCs w:val="21"/>
              </w:rPr>
              <w:t>%</w:t>
            </w:r>
            <w:r>
              <w:rPr>
                <w:rFonts w:hint="eastAsia" w:ascii="仿宋" w:hAnsi="仿宋" w:eastAsia="仿宋" w:cs="Cambria"/>
                <w:bCs/>
                <w:szCs w:val="21"/>
              </w:rPr>
              <w:t>（年化）。以产品投资存款类资产仓位50%-100%，债券类资产仓位0-50%，非标债权类资产仓位0-40%，组合杠杆率100-110%为例，参考当前存款类资产收益水平、剩余期限匹配的目标债券到期收益率、期限匹配的非标债权类资产目标收益率，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bookmarkStart w:id="2" w:name="OLE_LINK2" w:colFirst="1" w:colLast="1"/>
            <w:bookmarkStart w:id="3" w:name="OLE_LINK3" w:colFirst="1" w:colLast="1"/>
            <w:bookmarkStart w:id="4"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8</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2023年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14</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15</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lang w:val="en-US" w:eastAsia="zh-CN"/>
              </w:rPr>
              <w:t>111</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4</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rPr>
                <w:rFonts w:ascii="仿宋" w:hAnsi="仿宋" w:eastAsia="仿宋"/>
                <w:bCs/>
                <w:szCs w:val="21"/>
              </w:rPr>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w:t>
            </w:r>
            <w:bookmarkStart w:id="7" w:name="_GoBack"/>
            <w:bookmarkEnd w:id="7"/>
            <w:r>
              <w:rPr>
                <w:rFonts w:hint="eastAsia" w:ascii="仿宋" w:hAnsi="仿宋" w:eastAsia="仿宋"/>
                <w:b/>
                <w:bCs/>
                <w:color w:val="000000"/>
                <w:szCs w:val="21"/>
              </w:rPr>
              <w:t>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计划发行规模上限为</w:t>
            </w:r>
            <w:r>
              <w:rPr>
                <w:rFonts w:hint="eastAsia" w:ascii="仿宋" w:hAnsi="仿宋" w:eastAsia="仿宋"/>
                <w:bCs/>
                <w:szCs w:val="21"/>
                <w:lang w:val="en-US" w:eastAsia="zh-CN"/>
              </w:rPr>
              <w:t>10</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rPr>
              <w:t>1</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A份额：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B份额：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C份额：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val="0"/>
                <w:szCs w:val="21"/>
              </w:rPr>
            </w:pPr>
            <w:r>
              <w:rPr>
                <w:rFonts w:hint="eastAsia" w:ascii="仿宋" w:hAnsi="仿宋" w:eastAsia="仿宋"/>
                <w:b/>
                <w:bCs w:val="0"/>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b/>
                <w:bCs w:val="0"/>
                <w:szCs w:val="21"/>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
                <w:bCs w:val="0"/>
                <w:szCs w:val="21"/>
              </w:rPr>
            </w:pPr>
            <w:r>
              <w:rPr>
                <w:rFonts w:hint="eastAsia" w:ascii="仿宋" w:hAnsi="仿宋" w:eastAsia="仿宋"/>
                <w:b/>
                <w:bCs w:val="0"/>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0.03%/年，以前一日资产净值为基数，每日计提。公式如下：</w:t>
            </w:r>
          </w:p>
          <w:p>
            <w:pPr>
              <w:adjustRightInd w:val="0"/>
              <w:snapToGrid w:val="0"/>
              <w:spacing w:line="240" w:lineRule="auto"/>
              <w:ind w:firstLine="420"/>
              <w:jc w:val="left"/>
              <w:rPr>
                <w:rFonts w:ascii="仿宋" w:hAnsi="仿宋" w:eastAsia="仿宋"/>
                <w:b/>
                <w:bCs w:val="0"/>
                <w:szCs w:val="21"/>
              </w:rPr>
            </w:pPr>
            <w:r>
              <w:rPr>
                <w:rFonts w:hint="eastAsia" w:ascii="仿宋" w:hAnsi="仿宋" w:eastAsia="仿宋"/>
                <w:b/>
                <w:bCs w:val="0"/>
                <w:szCs w:val="21"/>
              </w:rPr>
              <w:t>F=E×【0.03%】/当年天数。F为托管费；E为计算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val="0"/>
                <w:szCs w:val="21"/>
              </w:rPr>
            </w:pPr>
            <w:r>
              <w:rPr>
                <w:rFonts w:hint="eastAsia" w:ascii="仿宋" w:hAnsi="仿宋" w:eastAsia="仿宋"/>
                <w:b/>
                <w:bCs w:val="0"/>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left"/>
              <w:rPr>
                <w:rFonts w:ascii="仿宋" w:hAnsi="仿宋" w:eastAsia="仿宋"/>
                <w:b/>
                <w:bCs w:val="0"/>
                <w:szCs w:val="21"/>
              </w:rPr>
            </w:pPr>
            <w:r>
              <w:rPr>
                <w:rFonts w:hint="eastAsia" w:ascii="仿宋" w:hAnsi="仿宋" w:eastAsia="仿宋" w:cs="Cambria"/>
                <w:b/>
                <w:bCs w:val="0"/>
                <w:szCs w:val="21"/>
              </w:rPr>
              <w:t xml:space="preserve">    A份额：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为</w:t>
            </w:r>
            <w:r>
              <w:rPr>
                <w:rFonts w:ascii="仿宋" w:hAnsi="仿宋" w:eastAsia="仿宋"/>
                <w:b/>
                <w:bCs w:val="0"/>
                <w:szCs w:val="21"/>
              </w:rPr>
              <w:t>0.</w:t>
            </w:r>
            <w:r>
              <w:rPr>
                <w:rFonts w:hint="eastAsia" w:ascii="仿宋" w:hAnsi="仿宋" w:eastAsia="仿宋"/>
                <w:b/>
                <w:bCs w:val="0"/>
                <w:szCs w:val="21"/>
              </w:rPr>
              <w:t>1</w:t>
            </w:r>
            <w:r>
              <w:rPr>
                <w:rFonts w:hint="eastAsia" w:ascii="仿宋" w:hAnsi="仿宋" w:eastAsia="仿宋"/>
                <w:b/>
                <w:bCs w:val="0"/>
                <w:szCs w:val="21"/>
                <w:lang w:val="en-US" w:eastAsia="zh-CN"/>
              </w:rPr>
              <w:t>5</w:t>
            </w:r>
            <w:r>
              <w:rPr>
                <w:rFonts w:hint="eastAsia" w:ascii="仿宋" w:hAnsi="仿宋" w:eastAsia="仿宋"/>
                <w:b/>
                <w:bCs w:val="0"/>
                <w:szCs w:val="21"/>
              </w:rPr>
              <w:t>%/年，以前一日资产净值为基数，每日计提。</w:t>
            </w:r>
          </w:p>
          <w:p>
            <w:pPr>
              <w:adjustRightInd w:val="0"/>
              <w:snapToGrid w:val="0"/>
              <w:spacing w:line="300" w:lineRule="exact"/>
              <w:ind w:firstLine="420"/>
              <w:jc w:val="left"/>
              <w:rPr>
                <w:rFonts w:ascii="仿宋" w:hAnsi="仿宋" w:eastAsia="仿宋"/>
                <w:b/>
                <w:bCs w:val="0"/>
                <w:szCs w:val="21"/>
              </w:rPr>
            </w:pPr>
            <w:r>
              <w:rPr>
                <w:rFonts w:hint="eastAsia" w:ascii="仿宋" w:hAnsi="仿宋" w:eastAsia="仿宋" w:cs="Cambria"/>
                <w:b/>
                <w:bCs w:val="0"/>
                <w:szCs w:val="21"/>
              </w:rPr>
              <w:t>B份额：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为</w:t>
            </w:r>
            <w:r>
              <w:rPr>
                <w:rFonts w:ascii="仿宋" w:hAnsi="仿宋" w:eastAsia="仿宋"/>
                <w:b/>
                <w:bCs w:val="0"/>
                <w:szCs w:val="21"/>
              </w:rPr>
              <w:t>0.</w:t>
            </w:r>
            <w:r>
              <w:rPr>
                <w:rFonts w:hint="eastAsia" w:ascii="仿宋" w:hAnsi="仿宋" w:eastAsia="仿宋"/>
                <w:b/>
                <w:bCs w:val="0"/>
                <w:szCs w:val="21"/>
                <w:lang w:val="en-US" w:eastAsia="zh-CN"/>
              </w:rPr>
              <w:t>20</w:t>
            </w:r>
            <w:r>
              <w:rPr>
                <w:rFonts w:hint="eastAsia" w:ascii="仿宋" w:hAnsi="仿宋" w:eastAsia="仿宋"/>
                <w:b/>
                <w:bCs w:val="0"/>
                <w:szCs w:val="21"/>
              </w:rPr>
              <w:t>%/年，以前一日资产净值为基数，每日计提。</w:t>
            </w:r>
          </w:p>
          <w:p>
            <w:pPr>
              <w:adjustRightInd w:val="0"/>
              <w:snapToGrid w:val="0"/>
              <w:spacing w:line="300" w:lineRule="exact"/>
              <w:ind w:firstLine="420"/>
              <w:jc w:val="left"/>
              <w:rPr>
                <w:rFonts w:ascii="仿宋" w:hAnsi="仿宋" w:eastAsia="仿宋"/>
                <w:b/>
                <w:bCs w:val="0"/>
                <w:szCs w:val="21"/>
              </w:rPr>
            </w:pPr>
            <w:r>
              <w:rPr>
                <w:rFonts w:hint="eastAsia" w:ascii="仿宋" w:hAnsi="仿宋" w:eastAsia="仿宋" w:cs="Cambria"/>
                <w:b/>
                <w:bCs w:val="0"/>
                <w:szCs w:val="21"/>
              </w:rPr>
              <w:t>C份额：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为</w:t>
            </w:r>
            <w:r>
              <w:rPr>
                <w:rFonts w:ascii="仿宋" w:hAnsi="仿宋" w:eastAsia="仿宋"/>
                <w:b/>
                <w:bCs w:val="0"/>
                <w:szCs w:val="21"/>
              </w:rPr>
              <w:t>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F=E×【各份额销售手续费</w:t>
            </w:r>
            <w:r>
              <w:rPr>
                <w:rFonts w:ascii="仿宋" w:hAnsi="仿宋" w:eastAsia="仿宋"/>
                <w:b/>
                <w:bCs w:val="0"/>
                <w:szCs w:val="21"/>
              </w:rPr>
              <w:t>率</w:t>
            </w:r>
            <w:r>
              <w:rPr>
                <w:rFonts w:hint="eastAsia" w:ascii="仿宋" w:hAnsi="仿宋" w:eastAsia="仿宋"/>
                <w:b/>
                <w:bCs w:val="0"/>
                <w:szCs w:val="21"/>
              </w:rPr>
              <w:t>】/当年</w:t>
            </w:r>
            <w:r>
              <w:rPr>
                <w:rFonts w:ascii="仿宋" w:hAnsi="仿宋" w:eastAsia="仿宋"/>
                <w:b/>
                <w:bCs w:val="0"/>
                <w:szCs w:val="21"/>
              </w:rPr>
              <w:t>天数</w:t>
            </w:r>
            <w:r>
              <w:rPr>
                <w:rFonts w:hint="eastAsia" w:ascii="仿宋" w:hAnsi="仿宋" w:eastAsia="仿宋"/>
                <w:b/>
                <w:bCs w:val="0"/>
                <w:szCs w:val="21"/>
              </w:rPr>
              <w:t>。F为各份额销售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val="0"/>
                <w:szCs w:val="21"/>
              </w:rPr>
            </w:pPr>
            <w:r>
              <w:rPr>
                <w:rFonts w:hint="eastAsia" w:ascii="仿宋" w:hAnsi="仿宋" w:eastAsia="仿宋"/>
                <w:b/>
                <w:bCs w:val="0"/>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0.</w:t>
            </w:r>
            <w:r>
              <w:rPr>
                <w:rFonts w:hint="eastAsia" w:ascii="仿宋" w:hAnsi="仿宋" w:eastAsia="仿宋"/>
                <w:b/>
                <w:bCs w:val="0"/>
                <w:szCs w:val="21"/>
              </w:rPr>
              <w:t>1</w:t>
            </w:r>
            <w:r>
              <w:rPr>
                <w:rFonts w:hint="eastAsia" w:ascii="仿宋" w:hAnsi="仿宋" w:eastAsia="仿宋"/>
                <w:b/>
                <w:bCs w:val="0"/>
                <w:szCs w:val="21"/>
                <w:lang w:val="en-US" w:eastAsia="zh-CN"/>
              </w:rPr>
              <w:t>5</w:t>
            </w:r>
            <w:r>
              <w:rPr>
                <w:rFonts w:hint="eastAsia" w:ascii="仿宋" w:hAnsi="仿宋" w:eastAsia="仿宋"/>
                <w:b/>
                <w:bCs w:val="0"/>
                <w:szCs w:val="21"/>
              </w:rPr>
              <w:t>%/年，以前一日资产净值为基数，每日计提。公式如下：</w:t>
            </w:r>
          </w:p>
          <w:p>
            <w:pPr>
              <w:adjustRightInd w:val="0"/>
              <w:snapToGrid w:val="0"/>
              <w:spacing w:line="300" w:lineRule="exact"/>
              <w:ind w:firstLine="420"/>
              <w:rPr>
                <w:rFonts w:ascii="仿宋" w:hAnsi="仿宋" w:eastAsia="仿宋"/>
                <w:b/>
                <w:bCs w:val="0"/>
                <w:szCs w:val="21"/>
              </w:rPr>
            </w:pPr>
            <w:r>
              <w:rPr>
                <w:rFonts w:hint="eastAsia" w:ascii="仿宋" w:hAnsi="仿宋" w:eastAsia="仿宋"/>
                <w:b/>
                <w:bCs w:val="0"/>
                <w:szCs w:val="21"/>
              </w:rPr>
              <w:t>F=E×【0.1</w:t>
            </w:r>
            <w:r>
              <w:rPr>
                <w:rFonts w:hint="eastAsia" w:ascii="仿宋" w:hAnsi="仿宋" w:eastAsia="仿宋"/>
                <w:b/>
                <w:bCs w:val="0"/>
                <w:szCs w:val="21"/>
                <w:lang w:val="en-US" w:eastAsia="zh-CN"/>
              </w:rPr>
              <w:t>5</w:t>
            </w:r>
            <w:r>
              <w:rPr>
                <w:rFonts w:hint="eastAsia" w:ascii="仿宋" w:hAnsi="仿宋" w:eastAsia="仿宋"/>
                <w:b/>
                <w:bCs w:val="0"/>
                <w:szCs w:val="21"/>
              </w:rPr>
              <w:t>%】/当年</w:t>
            </w:r>
            <w:r>
              <w:rPr>
                <w:rFonts w:ascii="仿宋" w:hAnsi="仿宋" w:eastAsia="仿宋"/>
                <w:b/>
                <w:bCs w:val="0"/>
                <w:szCs w:val="21"/>
              </w:rPr>
              <w:t>天数</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val="0"/>
                <w:szCs w:val="21"/>
              </w:rPr>
            </w:pPr>
            <w:r>
              <w:rPr>
                <w:rFonts w:hint="eastAsia" w:ascii="仿宋" w:hAnsi="仿宋" w:eastAsia="仿宋"/>
                <w:b/>
                <w:bCs w:val="0"/>
                <w:szCs w:val="21"/>
              </w:rPr>
              <w:t>超额</w:t>
            </w:r>
            <w:r>
              <w:rPr>
                <w:rFonts w:ascii="仿宋" w:hAnsi="仿宋" w:eastAsia="仿宋"/>
                <w:b/>
                <w:bCs w:val="0"/>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A份额超额管理费计提基准为</w:t>
            </w:r>
            <w:r>
              <w:rPr>
                <w:rFonts w:hint="eastAsia" w:ascii="仿宋" w:hAnsi="仿宋" w:eastAsia="仿宋" w:cs="Cambria"/>
                <w:b/>
                <w:bCs w:val="0"/>
                <w:szCs w:val="21"/>
                <w:lang w:val="en-US" w:eastAsia="zh-CN"/>
              </w:rPr>
              <w:t>2.90</w:t>
            </w:r>
            <w:r>
              <w:rPr>
                <w:rFonts w:ascii="仿宋" w:hAnsi="仿宋" w:eastAsia="仿宋" w:cs="Cambria"/>
                <w:b/>
                <w:bCs w:val="0"/>
                <w:szCs w:val="21"/>
              </w:rPr>
              <w:t>%</w:t>
            </w:r>
            <w:r>
              <w:rPr>
                <w:rFonts w:hint="eastAsia" w:ascii="仿宋" w:hAnsi="仿宋" w:eastAsia="仿宋" w:cs="Cambria"/>
                <w:b/>
                <w:bCs w:val="0"/>
                <w:szCs w:val="21"/>
              </w:rPr>
              <w:t>（年化）；B份额超额管理费计提基准为</w:t>
            </w:r>
            <w:r>
              <w:rPr>
                <w:rFonts w:ascii="仿宋" w:hAnsi="仿宋" w:eastAsia="仿宋"/>
                <w:b/>
                <w:bCs w:val="0"/>
                <w:szCs w:val="21"/>
              </w:rPr>
              <w:t>2.</w:t>
            </w:r>
            <w:r>
              <w:rPr>
                <w:rFonts w:hint="eastAsia" w:ascii="仿宋" w:hAnsi="仿宋" w:eastAsia="仿宋"/>
                <w:b/>
                <w:bCs w:val="0"/>
                <w:szCs w:val="21"/>
                <w:lang w:val="en-US" w:eastAsia="zh-CN"/>
              </w:rPr>
              <w:t>8</w:t>
            </w:r>
            <w:r>
              <w:rPr>
                <w:rFonts w:ascii="仿宋" w:hAnsi="仿宋" w:eastAsia="仿宋"/>
                <w:b/>
                <w:bCs w:val="0"/>
                <w:szCs w:val="21"/>
              </w:rPr>
              <w:t>5%</w:t>
            </w:r>
            <w:r>
              <w:rPr>
                <w:rFonts w:hint="eastAsia" w:ascii="仿宋" w:hAnsi="仿宋" w:eastAsia="仿宋" w:cs="Cambria"/>
                <w:b/>
                <w:bCs w:val="0"/>
                <w:szCs w:val="21"/>
              </w:rPr>
              <w:t>（年化）；C份额超额管理费计提基准为</w:t>
            </w:r>
            <w:r>
              <w:rPr>
                <w:rFonts w:ascii="仿宋" w:hAnsi="仿宋" w:eastAsia="仿宋"/>
                <w:b/>
                <w:bCs w:val="0"/>
                <w:szCs w:val="21"/>
              </w:rPr>
              <w:t>2.</w:t>
            </w:r>
            <w:r>
              <w:rPr>
                <w:rFonts w:hint="eastAsia" w:ascii="仿宋" w:hAnsi="仿宋" w:eastAsia="仿宋"/>
                <w:b/>
                <w:bCs w:val="0"/>
                <w:szCs w:val="21"/>
                <w:lang w:val="en-US" w:eastAsia="zh-CN"/>
              </w:rPr>
              <w:t>75</w:t>
            </w:r>
            <w:r>
              <w:rPr>
                <w:rFonts w:ascii="仿宋" w:hAnsi="仿宋" w:eastAsia="仿宋"/>
                <w:b/>
                <w:bCs w:val="0"/>
                <w:szCs w:val="21"/>
              </w:rPr>
              <w:t>%</w:t>
            </w:r>
            <w:r>
              <w:rPr>
                <w:rFonts w:hint="eastAsia" w:ascii="仿宋" w:hAnsi="仿宋" w:eastAsia="仿宋" w:cs="Cambria"/>
                <w:b/>
                <w:bCs w:val="0"/>
                <w:szCs w:val="21"/>
              </w:rPr>
              <w:t>（年化）。</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本产品超额管理费的计算公式：</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其中：</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年化收益率=（计提日累计单位净值-1.0000）÷1.0000×365÷当期持有天数。</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“产品份额”为产品份额，若有红利再投时，将剔除红利再投产生份额的影响。</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rFonts w:ascii="仿宋" w:hAnsi="仿宋" w:eastAsia="仿宋"/>
                <w:b/>
                <w:bCs w:val="0"/>
                <w:szCs w:val="21"/>
                <w:u w:val="single"/>
              </w:rPr>
            </w:pPr>
            <w:r>
              <w:rPr>
                <w:rFonts w:hint="eastAsia" w:ascii="仿宋" w:hAnsi="仿宋" w:eastAsia="仿宋"/>
                <w:b/>
                <w:bCs w:val="0"/>
                <w:color w:val="000000"/>
                <w:szCs w:val="21"/>
              </w:rPr>
              <w:t>华夏理财有权根据市场</w:t>
            </w:r>
            <w:r>
              <w:rPr>
                <w:rFonts w:hint="eastAsia" w:ascii="仿宋" w:hAnsi="仿宋" w:eastAsia="仿宋"/>
                <w:b/>
                <w:bCs w:val="0"/>
                <w:szCs w:val="21"/>
              </w:rPr>
              <w:t>及产品运作情况调整上述规则，并至少于生效前3个工作日通过本产品说明书约定的信息披露渠道进行公告</w:t>
            </w:r>
            <w:r>
              <w:rPr>
                <w:rFonts w:hint="eastAsia" w:ascii="仿宋" w:hAnsi="仿宋" w:eastAsia="仿宋"/>
                <w:b/>
                <w:bCs w:val="0"/>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val="0"/>
                <w:szCs w:val="21"/>
              </w:rPr>
            </w:pPr>
            <w:r>
              <w:rPr>
                <w:rFonts w:hint="eastAsia" w:ascii="仿宋" w:hAnsi="仿宋" w:eastAsia="仿宋"/>
                <w:b/>
                <w:bCs w:val="0"/>
                <w:szCs w:val="21"/>
              </w:rPr>
              <w:t>其他</w:t>
            </w:r>
            <w:r>
              <w:rPr>
                <w:rFonts w:ascii="仿宋" w:hAnsi="仿宋" w:eastAsia="仿宋"/>
                <w:b/>
                <w:bCs w:val="0"/>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ascii="仿宋" w:hAnsi="仿宋" w:eastAsia="仿宋" w:cs="宋体"/>
                <w:kern w:val="0"/>
                <w:szCs w:val="21"/>
              </w:rPr>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1"/>
        <w:snapToGrid w:val="0"/>
        <w:spacing w:after="156" w:afterLines="50" w:line="400" w:lineRule="exact"/>
        <w:ind w:firstLine="482" w:firstLineChars="200"/>
        <w:jc w:val="both"/>
        <w:rPr>
          <w:rFonts w:ascii="Times New Roman" w:eastAsia="黑体" w:cs="Times New Roman"/>
          <w:b/>
          <w:color w:val="auto"/>
        </w:rPr>
      </w:pPr>
    </w:p>
    <w:p>
      <w:pPr>
        <w:pStyle w:val="11"/>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本理财产品将主要投资于货币市场工具、标准化债权类资产、非标准化债权类资产等固定收益类资产。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0"/>
        <w:tblW w:w="7900" w:type="dxa"/>
        <w:tblCellSpacing w:w="0" w:type="dxa"/>
        <w:tblInd w:w="1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762"/>
        <w:gridCol w:w="5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trPr>
        <w:tc>
          <w:tcPr>
            <w:tcW w:w="2762" w:type="dxa"/>
            <w:vAlign w:val="center"/>
          </w:tcPr>
          <w:p>
            <w:pPr>
              <w:adjustRightInd w:val="0"/>
              <w:snapToGrid w:val="0"/>
              <w:spacing w:line="560" w:lineRule="atLeast"/>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5138" w:type="dxa"/>
            <w:vAlign w:val="center"/>
          </w:tcPr>
          <w:p>
            <w:pPr>
              <w:adjustRightInd w:val="0"/>
              <w:snapToGrid w:val="0"/>
              <w:spacing w:line="560" w:lineRule="atLeast"/>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trPr>
        <w:tc>
          <w:tcPr>
            <w:tcW w:w="2762" w:type="dxa"/>
            <w:vAlign w:val="center"/>
          </w:tcPr>
          <w:p>
            <w:pPr>
              <w:adjustRightInd w:val="0"/>
              <w:snapToGrid w:val="0"/>
              <w:spacing w:line="560" w:lineRule="atLeast"/>
              <w:jc w:val="center"/>
              <w:rPr>
                <w:rFonts w:ascii="仿宋" w:hAnsi="仿宋" w:eastAsia="仿宋" w:cs="宋体"/>
                <w:color w:val="000000"/>
                <w:kern w:val="0"/>
                <w:sz w:val="24"/>
              </w:rPr>
            </w:pPr>
            <w:r>
              <w:rPr>
                <w:rFonts w:hint="eastAsia" w:ascii="仿宋" w:hAnsi="仿宋" w:eastAsia="仿宋" w:cs="宋体"/>
                <w:color w:val="000000"/>
                <w:kern w:val="0"/>
                <w:sz w:val="24"/>
              </w:rPr>
              <w:t>固定收益类</w:t>
            </w:r>
          </w:p>
        </w:tc>
        <w:tc>
          <w:tcPr>
            <w:tcW w:w="5138" w:type="dxa"/>
            <w:vAlign w:val="center"/>
          </w:tcPr>
          <w:p>
            <w:pPr>
              <w:adjustRightInd w:val="0"/>
              <w:snapToGrid w:val="0"/>
              <w:spacing w:line="560" w:lineRule="atLeast"/>
              <w:jc w:val="center"/>
              <w:rPr>
                <w:rFonts w:eastAsia="仿宋"/>
                <w:color w:val="000000"/>
                <w:kern w:val="0"/>
                <w:sz w:val="24"/>
              </w:rPr>
            </w:pPr>
            <w:r>
              <w:rPr>
                <w:rFonts w:hint="eastAsia" w:ascii="仿宋" w:hAnsi="仿宋" w:eastAsia="仿宋" w:cs="宋体"/>
                <w:color w:val="000000"/>
                <w:kern w:val="0"/>
                <w:sz w:val="24"/>
              </w:rPr>
              <w:t>0%-100%</w:t>
            </w:r>
          </w:p>
        </w:tc>
      </w:tr>
    </w:tbl>
    <w:p>
      <w:pPr>
        <w:widowControl/>
        <w:adjustRightInd w:val="0"/>
        <w:snapToGrid w:val="0"/>
        <w:spacing w:line="276" w:lineRule="auto"/>
        <w:ind w:firstLine="420"/>
        <w:contextualSpacing/>
        <w:rPr>
          <w:rFonts w:ascii="仿宋" w:hAnsi="仿宋" w:eastAsia="仿宋" w:cs="宋体"/>
          <w:kern w:val="0"/>
          <w:sz w:val="24"/>
        </w:rPr>
      </w:pP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管理人应当自本理财产品成立日起1</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1"/>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柜台及</w:t>
      </w:r>
      <w:r>
        <w:rPr>
          <w:rFonts w:hint="eastAsia" w:ascii="仿宋" w:hAnsi="仿宋" w:eastAsia="仿宋" w:cs="宋体"/>
          <w:kern w:val="0"/>
          <w:sz w:val="24"/>
        </w:rPr>
        <w:t>电子</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柜台、手机银行、网上银行、微信银行等渠道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1"/>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1.0100</w:t>
      </w:r>
      <w:r>
        <w:rPr>
          <w:rFonts w:hint="eastAsia" w:ascii="仿宋" w:hAnsi="仿宋" w:eastAsia="仿宋" w:cs="仿宋"/>
          <w:sz w:val="24"/>
        </w:rPr>
        <w:t>，客户到期获得的金额为：</w:t>
      </w:r>
      <w:r>
        <w:rPr>
          <w:rFonts w:ascii="仿宋" w:hAnsi="仿宋" w:eastAsia="仿宋" w:cs="仿宋"/>
          <w:sz w:val="24"/>
        </w:rPr>
        <w:t>100,000*1.0100=101,000.00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本理财产品所投资的银行存款、货币市场工具等标准化债权类资产、非标准化债权类资产以及资产管理产品等资产。</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（1）场外申赎的开放式基金（包括上市开放式基金LOF）以估值日前一交易日基金净值估值，估值日前一交易日开放式基金份额净值未公布的，以此前最近一个交易日基金份额净值计算；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（3）货币基金按前一估值日后至估值日期间（含节假日）发布的万份收益计提估值日收益。</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1"/>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1"/>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1"/>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kern w:val="0"/>
          <w:sz w:val="24"/>
        </w:rPr>
        <w:t>在本</w:t>
      </w:r>
      <w:r>
        <w:rPr>
          <w:rFonts w:hint="eastAsia" w:ascii="仿宋" w:hAnsi="仿宋" w:eastAsia="仿宋" w:cs="宋体"/>
          <w:b/>
          <w:bCs/>
          <w:kern w:val="0"/>
          <w:sz w:val="24"/>
        </w:rPr>
        <w:t>理财</w:t>
      </w:r>
      <w:r>
        <w:rPr>
          <w:rFonts w:ascii="仿宋" w:hAnsi="仿宋" w:eastAsia="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righ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bordersDoNotSurroundHeader w:val="0"/>
  <w:bordersDoNotSurroundFooter w:val="0"/>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splitPgBreakAndParaMark/>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7523A"/>
    <w:rsid w:val="00186079"/>
    <w:rsid w:val="00190BB4"/>
    <w:rsid w:val="0019200F"/>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65BDD"/>
    <w:rsid w:val="006714E1"/>
    <w:rsid w:val="00697279"/>
    <w:rsid w:val="006A3BD2"/>
    <w:rsid w:val="006B7A12"/>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55BA0"/>
    <w:rsid w:val="00A762A9"/>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E1803"/>
    <w:rsid w:val="00DE7DB8"/>
    <w:rsid w:val="00DF01F0"/>
    <w:rsid w:val="00E01C5E"/>
    <w:rsid w:val="00E02F1C"/>
    <w:rsid w:val="00E064E3"/>
    <w:rsid w:val="00E254D4"/>
    <w:rsid w:val="00E32C0D"/>
    <w:rsid w:val="00E53D13"/>
    <w:rsid w:val="00E62046"/>
    <w:rsid w:val="00E65F0B"/>
    <w:rsid w:val="00E8067C"/>
    <w:rsid w:val="00E86945"/>
    <w:rsid w:val="00E91719"/>
    <w:rsid w:val="00E93A95"/>
    <w:rsid w:val="00EA4EFE"/>
    <w:rsid w:val="00EC1941"/>
    <w:rsid w:val="00ED51B9"/>
    <w:rsid w:val="00ED5CA8"/>
    <w:rsid w:val="00EE0EFC"/>
    <w:rsid w:val="00EE4B28"/>
    <w:rsid w:val="00EE5ED9"/>
    <w:rsid w:val="00F02D76"/>
    <w:rsid w:val="00F045C3"/>
    <w:rsid w:val="00F05127"/>
    <w:rsid w:val="00F208BA"/>
    <w:rsid w:val="00F512E9"/>
    <w:rsid w:val="00F54606"/>
    <w:rsid w:val="00F67A6A"/>
    <w:rsid w:val="00F67A9C"/>
    <w:rsid w:val="00F72DB1"/>
    <w:rsid w:val="00F77DC9"/>
    <w:rsid w:val="00F82368"/>
    <w:rsid w:val="00FA70D5"/>
    <w:rsid w:val="00FB10EC"/>
    <w:rsid w:val="00FC0983"/>
    <w:rsid w:val="00FC21F8"/>
    <w:rsid w:val="00FC6689"/>
    <w:rsid w:val="00FC72F2"/>
    <w:rsid w:val="00FF1A4F"/>
    <w:rsid w:val="00FF5911"/>
    <w:rsid w:val="015E11C2"/>
    <w:rsid w:val="020F48EF"/>
    <w:rsid w:val="02361A79"/>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72859C3"/>
    <w:rsid w:val="07853686"/>
    <w:rsid w:val="079A3378"/>
    <w:rsid w:val="07B45D81"/>
    <w:rsid w:val="07C26F1E"/>
    <w:rsid w:val="07C52B3D"/>
    <w:rsid w:val="07CC63DA"/>
    <w:rsid w:val="07D6576F"/>
    <w:rsid w:val="07F1682B"/>
    <w:rsid w:val="08064FC2"/>
    <w:rsid w:val="080D6F41"/>
    <w:rsid w:val="089F7108"/>
    <w:rsid w:val="08A87A0E"/>
    <w:rsid w:val="08D300AE"/>
    <w:rsid w:val="09277EEB"/>
    <w:rsid w:val="096506FA"/>
    <w:rsid w:val="09B80512"/>
    <w:rsid w:val="0A01440A"/>
    <w:rsid w:val="0A513B0D"/>
    <w:rsid w:val="0A5478A3"/>
    <w:rsid w:val="0CF0675C"/>
    <w:rsid w:val="0D037CFA"/>
    <w:rsid w:val="0D0A4803"/>
    <w:rsid w:val="0D3600BA"/>
    <w:rsid w:val="0DD32259"/>
    <w:rsid w:val="0E143946"/>
    <w:rsid w:val="0E73282A"/>
    <w:rsid w:val="0EF43DB9"/>
    <w:rsid w:val="0F7B7814"/>
    <w:rsid w:val="0F850895"/>
    <w:rsid w:val="102F133E"/>
    <w:rsid w:val="10886C53"/>
    <w:rsid w:val="1091535F"/>
    <w:rsid w:val="10987645"/>
    <w:rsid w:val="10AC5A06"/>
    <w:rsid w:val="10B272CB"/>
    <w:rsid w:val="10ED247D"/>
    <w:rsid w:val="110764BF"/>
    <w:rsid w:val="113A6DA1"/>
    <w:rsid w:val="114758B1"/>
    <w:rsid w:val="11585397"/>
    <w:rsid w:val="11921C3C"/>
    <w:rsid w:val="119A5652"/>
    <w:rsid w:val="11BA7B51"/>
    <w:rsid w:val="120F1E2C"/>
    <w:rsid w:val="12540566"/>
    <w:rsid w:val="12946645"/>
    <w:rsid w:val="12D3200B"/>
    <w:rsid w:val="13495D69"/>
    <w:rsid w:val="13B7767A"/>
    <w:rsid w:val="13B9670D"/>
    <w:rsid w:val="13DE4767"/>
    <w:rsid w:val="14484DCB"/>
    <w:rsid w:val="14852776"/>
    <w:rsid w:val="15140BCE"/>
    <w:rsid w:val="153C01B0"/>
    <w:rsid w:val="1584793E"/>
    <w:rsid w:val="15874EAA"/>
    <w:rsid w:val="15C47445"/>
    <w:rsid w:val="15DF45C9"/>
    <w:rsid w:val="15E41B70"/>
    <w:rsid w:val="162E0DFB"/>
    <w:rsid w:val="16440A35"/>
    <w:rsid w:val="16577530"/>
    <w:rsid w:val="167255CF"/>
    <w:rsid w:val="16840173"/>
    <w:rsid w:val="16FB6F37"/>
    <w:rsid w:val="17825A05"/>
    <w:rsid w:val="17D31FDC"/>
    <w:rsid w:val="17D76C2B"/>
    <w:rsid w:val="17F8769D"/>
    <w:rsid w:val="18041AB4"/>
    <w:rsid w:val="1812072F"/>
    <w:rsid w:val="189F7450"/>
    <w:rsid w:val="190F268E"/>
    <w:rsid w:val="19287585"/>
    <w:rsid w:val="19610BFF"/>
    <w:rsid w:val="19953307"/>
    <w:rsid w:val="19A07D04"/>
    <w:rsid w:val="1A2C6A6A"/>
    <w:rsid w:val="1AB13D5A"/>
    <w:rsid w:val="1B2C6F2C"/>
    <w:rsid w:val="1B5D5F33"/>
    <w:rsid w:val="1BA24967"/>
    <w:rsid w:val="1BAF6A57"/>
    <w:rsid w:val="1BCE5D96"/>
    <w:rsid w:val="1BDE2098"/>
    <w:rsid w:val="1BE069CA"/>
    <w:rsid w:val="1C465E86"/>
    <w:rsid w:val="1C726314"/>
    <w:rsid w:val="1C8B0511"/>
    <w:rsid w:val="1CE252F3"/>
    <w:rsid w:val="1D104FDC"/>
    <w:rsid w:val="1D117096"/>
    <w:rsid w:val="1D4E59B7"/>
    <w:rsid w:val="1DE516B8"/>
    <w:rsid w:val="1E047274"/>
    <w:rsid w:val="1E433C85"/>
    <w:rsid w:val="1ED877DF"/>
    <w:rsid w:val="1F0B3DFE"/>
    <w:rsid w:val="1F5522A7"/>
    <w:rsid w:val="1FD45CE1"/>
    <w:rsid w:val="1FF41399"/>
    <w:rsid w:val="201E5567"/>
    <w:rsid w:val="21433609"/>
    <w:rsid w:val="214D162F"/>
    <w:rsid w:val="22042471"/>
    <w:rsid w:val="22171129"/>
    <w:rsid w:val="222D0D62"/>
    <w:rsid w:val="22551E62"/>
    <w:rsid w:val="227D729C"/>
    <w:rsid w:val="2350568B"/>
    <w:rsid w:val="237F35E5"/>
    <w:rsid w:val="23A50D24"/>
    <w:rsid w:val="23E44373"/>
    <w:rsid w:val="242806AA"/>
    <w:rsid w:val="24392A65"/>
    <w:rsid w:val="2467066D"/>
    <w:rsid w:val="248249F5"/>
    <w:rsid w:val="24E91956"/>
    <w:rsid w:val="252E26F1"/>
    <w:rsid w:val="25C3267A"/>
    <w:rsid w:val="25D568B4"/>
    <w:rsid w:val="25F33B9E"/>
    <w:rsid w:val="260C731E"/>
    <w:rsid w:val="26103F21"/>
    <w:rsid w:val="27C604DA"/>
    <w:rsid w:val="27EA63D1"/>
    <w:rsid w:val="287A5D0E"/>
    <w:rsid w:val="28B05EE9"/>
    <w:rsid w:val="28D30187"/>
    <w:rsid w:val="28E571A8"/>
    <w:rsid w:val="29265A8E"/>
    <w:rsid w:val="294C4E21"/>
    <w:rsid w:val="296D4B02"/>
    <w:rsid w:val="2A103412"/>
    <w:rsid w:val="2A1E1418"/>
    <w:rsid w:val="2A770C99"/>
    <w:rsid w:val="2B2942A8"/>
    <w:rsid w:val="2BBB2833"/>
    <w:rsid w:val="2BC42334"/>
    <w:rsid w:val="2C1011CD"/>
    <w:rsid w:val="2C40390A"/>
    <w:rsid w:val="2C4C703B"/>
    <w:rsid w:val="2D241337"/>
    <w:rsid w:val="2D753D30"/>
    <w:rsid w:val="2DC02129"/>
    <w:rsid w:val="2E010168"/>
    <w:rsid w:val="2E6A7D66"/>
    <w:rsid w:val="2EA605F1"/>
    <w:rsid w:val="2EA972CC"/>
    <w:rsid w:val="2EC31B75"/>
    <w:rsid w:val="2FE72027"/>
    <w:rsid w:val="306A1371"/>
    <w:rsid w:val="30B6783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774E48"/>
    <w:rsid w:val="36B76A85"/>
    <w:rsid w:val="36B82ADE"/>
    <w:rsid w:val="37174190"/>
    <w:rsid w:val="376879F0"/>
    <w:rsid w:val="378F057D"/>
    <w:rsid w:val="37EC4B4C"/>
    <w:rsid w:val="383529C2"/>
    <w:rsid w:val="387B665C"/>
    <w:rsid w:val="39690814"/>
    <w:rsid w:val="39B76C90"/>
    <w:rsid w:val="39C37A55"/>
    <w:rsid w:val="39C53B44"/>
    <w:rsid w:val="39EF39C3"/>
    <w:rsid w:val="3A021304"/>
    <w:rsid w:val="3A23092B"/>
    <w:rsid w:val="3A35598B"/>
    <w:rsid w:val="3A595F4B"/>
    <w:rsid w:val="3A9D0C11"/>
    <w:rsid w:val="3B4C73CF"/>
    <w:rsid w:val="3BC55932"/>
    <w:rsid w:val="3C7826C2"/>
    <w:rsid w:val="3C8F2051"/>
    <w:rsid w:val="3CD87A38"/>
    <w:rsid w:val="3D83215E"/>
    <w:rsid w:val="3DF76443"/>
    <w:rsid w:val="3DFF3A1A"/>
    <w:rsid w:val="3EA946F7"/>
    <w:rsid w:val="3ED4630A"/>
    <w:rsid w:val="3ED615CF"/>
    <w:rsid w:val="3EEC674A"/>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F60353"/>
    <w:rsid w:val="438556A7"/>
    <w:rsid w:val="43A6228A"/>
    <w:rsid w:val="449B7167"/>
    <w:rsid w:val="44CC2C77"/>
    <w:rsid w:val="4524487F"/>
    <w:rsid w:val="45CC078F"/>
    <w:rsid w:val="466B6F06"/>
    <w:rsid w:val="46860155"/>
    <w:rsid w:val="46E93EA5"/>
    <w:rsid w:val="476049FD"/>
    <w:rsid w:val="47802A85"/>
    <w:rsid w:val="47E65D23"/>
    <w:rsid w:val="47F6480D"/>
    <w:rsid w:val="4801691C"/>
    <w:rsid w:val="487C60FD"/>
    <w:rsid w:val="489E098C"/>
    <w:rsid w:val="48B61CC6"/>
    <w:rsid w:val="48E87129"/>
    <w:rsid w:val="492A5B50"/>
    <w:rsid w:val="49321AAF"/>
    <w:rsid w:val="493A681C"/>
    <w:rsid w:val="493C2E02"/>
    <w:rsid w:val="494C1BF0"/>
    <w:rsid w:val="494D579F"/>
    <w:rsid w:val="498C1FB1"/>
    <w:rsid w:val="4A255416"/>
    <w:rsid w:val="4A295537"/>
    <w:rsid w:val="4A937164"/>
    <w:rsid w:val="4A9750EA"/>
    <w:rsid w:val="4AA40703"/>
    <w:rsid w:val="4B1D70C8"/>
    <w:rsid w:val="4B690413"/>
    <w:rsid w:val="4BB86F47"/>
    <w:rsid w:val="4BF60566"/>
    <w:rsid w:val="4C263A21"/>
    <w:rsid w:val="4C973694"/>
    <w:rsid w:val="4CCE54E6"/>
    <w:rsid w:val="4D5D4C67"/>
    <w:rsid w:val="4ECD4D2C"/>
    <w:rsid w:val="4EDD4EDE"/>
    <w:rsid w:val="4EE45C33"/>
    <w:rsid w:val="4EED4C04"/>
    <w:rsid w:val="4F2711ED"/>
    <w:rsid w:val="4F323CFA"/>
    <w:rsid w:val="4F8F4B84"/>
    <w:rsid w:val="500C5A60"/>
    <w:rsid w:val="50461117"/>
    <w:rsid w:val="509A5F14"/>
    <w:rsid w:val="515442E6"/>
    <w:rsid w:val="51954E8A"/>
    <w:rsid w:val="519B5496"/>
    <w:rsid w:val="52667895"/>
    <w:rsid w:val="52B20439"/>
    <w:rsid w:val="53140A76"/>
    <w:rsid w:val="5337488A"/>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7B0F8C"/>
    <w:rsid w:val="56CD2B10"/>
    <w:rsid w:val="56D476A1"/>
    <w:rsid w:val="574328BF"/>
    <w:rsid w:val="584667E1"/>
    <w:rsid w:val="5884596F"/>
    <w:rsid w:val="58E1781D"/>
    <w:rsid w:val="598336AE"/>
    <w:rsid w:val="599B3F0F"/>
    <w:rsid w:val="59A2047A"/>
    <w:rsid w:val="5A3E4ACF"/>
    <w:rsid w:val="5A41650D"/>
    <w:rsid w:val="5A51593C"/>
    <w:rsid w:val="5A7852B1"/>
    <w:rsid w:val="5AA97C90"/>
    <w:rsid w:val="5AD858CE"/>
    <w:rsid w:val="5AE4319D"/>
    <w:rsid w:val="5C7E5C8C"/>
    <w:rsid w:val="5CE90207"/>
    <w:rsid w:val="5D875E55"/>
    <w:rsid w:val="5E3B759B"/>
    <w:rsid w:val="5E501568"/>
    <w:rsid w:val="5E50611E"/>
    <w:rsid w:val="5E544DB8"/>
    <w:rsid w:val="5EB138AE"/>
    <w:rsid w:val="5EB53035"/>
    <w:rsid w:val="5ED23CC7"/>
    <w:rsid w:val="5EE6353D"/>
    <w:rsid w:val="5F0310B7"/>
    <w:rsid w:val="5F0C287E"/>
    <w:rsid w:val="5F1655AE"/>
    <w:rsid w:val="5F5952B0"/>
    <w:rsid w:val="602E28A2"/>
    <w:rsid w:val="60C0423D"/>
    <w:rsid w:val="60D23849"/>
    <w:rsid w:val="60E7450D"/>
    <w:rsid w:val="6166406C"/>
    <w:rsid w:val="618F3AF2"/>
    <w:rsid w:val="61DA68DC"/>
    <w:rsid w:val="622708C6"/>
    <w:rsid w:val="62460A47"/>
    <w:rsid w:val="62F77E6A"/>
    <w:rsid w:val="63554C8E"/>
    <w:rsid w:val="63890B77"/>
    <w:rsid w:val="63970830"/>
    <w:rsid w:val="639D1EC4"/>
    <w:rsid w:val="63A13700"/>
    <w:rsid w:val="63DA03E2"/>
    <w:rsid w:val="64541B77"/>
    <w:rsid w:val="64667487"/>
    <w:rsid w:val="64E9282A"/>
    <w:rsid w:val="651B0E07"/>
    <w:rsid w:val="65C63D9B"/>
    <w:rsid w:val="66103AAA"/>
    <w:rsid w:val="667640C4"/>
    <w:rsid w:val="66DC24A5"/>
    <w:rsid w:val="66DF3B52"/>
    <w:rsid w:val="672963E0"/>
    <w:rsid w:val="675A4556"/>
    <w:rsid w:val="675C47D1"/>
    <w:rsid w:val="675E5725"/>
    <w:rsid w:val="679271B5"/>
    <w:rsid w:val="67AE1BA6"/>
    <w:rsid w:val="68191A65"/>
    <w:rsid w:val="68F60924"/>
    <w:rsid w:val="6943423A"/>
    <w:rsid w:val="69572330"/>
    <w:rsid w:val="698C4C9E"/>
    <w:rsid w:val="69E719A0"/>
    <w:rsid w:val="6A557981"/>
    <w:rsid w:val="6A5B0FA5"/>
    <w:rsid w:val="6A983C35"/>
    <w:rsid w:val="6AA26D33"/>
    <w:rsid w:val="6AAC3F8C"/>
    <w:rsid w:val="6AFD414A"/>
    <w:rsid w:val="6B4C2F45"/>
    <w:rsid w:val="6B6E4269"/>
    <w:rsid w:val="6B961612"/>
    <w:rsid w:val="6B966680"/>
    <w:rsid w:val="6C161AD0"/>
    <w:rsid w:val="6D157AE9"/>
    <w:rsid w:val="6D275220"/>
    <w:rsid w:val="6D2E7D50"/>
    <w:rsid w:val="6DD90E21"/>
    <w:rsid w:val="6DE0162F"/>
    <w:rsid w:val="6DFA3383"/>
    <w:rsid w:val="6E1A49C5"/>
    <w:rsid w:val="6E254EA7"/>
    <w:rsid w:val="6E4B2AEB"/>
    <w:rsid w:val="6EBB30B7"/>
    <w:rsid w:val="6F0D185D"/>
    <w:rsid w:val="6F786BDA"/>
    <w:rsid w:val="6FA9351C"/>
    <w:rsid w:val="70851CBD"/>
    <w:rsid w:val="709573C6"/>
    <w:rsid w:val="709E2354"/>
    <w:rsid w:val="70E70772"/>
    <w:rsid w:val="71900429"/>
    <w:rsid w:val="719027A5"/>
    <w:rsid w:val="71C9496E"/>
    <w:rsid w:val="71EE76F7"/>
    <w:rsid w:val="725F0CAE"/>
    <w:rsid w:val="72981180"/>
    <w:rsid w:val="729C09F9"/>
    <w:rsid w:val="72B3756B"/>
    <w:rsid w:val="73001A15"/>
    <w:rsid w:val="73155C46"/>
    <w:rsid w:val="7366194C"/>
    <w:rsid w:val="74062834"/>
    <w:rsid w:val="740D552E"/>
    <w:rsid w:val="74136087"/>
    <w:rsid w:val="7443680B"/>
    <w:rsid w:val="74A805D6"/>
    <w:rsid w:val="74A870B6"/>
    <w:rsid w:val="74EC6D1E"/>
    <w:rsid w:val="74FA0674"/>
    <w:rsid w:val="74FA331C"/>
    <w:rsid w:val="754F1383"/>
    <w:rsid w:val="75DC198B"/>
    <w:rsid w:val="762A07F6"/>
    <w:rsid w:val="764A2B58"/>
    <w:rsid w:val="76661B90"/>
    <w:rsid w:val="77644889"/>
    <w:rsid w:val="77731DCC"/>
    <w:rsid w:val="77B301A9"/>
    <w:rsid w:val="77BE7190"/>
    <w:rsid w:val="77D83AB0"/>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D6F00D9"/>
    <w:rsid w:val="7EA630E7"/>
    <w:rsid w:val="7EB61058"/>
    <w:rsid w:val="7ED004CF"/>
    <w:rsid w:val="7F691199"/>
    <w:rsid w:val="7F9C17F8"/>
    <w:rsid w:val="7FA90BF5"/>
    <w:rsid w:val="7FEC571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10">
    <w:name w:val="Normal Table"/>
    <w:unhideWhenUsed/>
    <w:uiPriority w:val="99"/>
    <w:tblPr>
      <w:tblStyle w:val="10"/>
      <w:tblLayout w:type="fixed"/>
      <w:tblCellMar>
        <w:top w:w="0" w:type="dxa"/>
        <w:left w:w="108" w:type="dxa"/>
        <w:bottom w:w="0" w:type="dxa"/>
        <w:right w:w="108" w:type="dxa"/>
      </w:tblCellMar>
    </w:tblPr>
    <w:tcPr>
      <w:textDirection w:val="lrTb"/>
    </w:tcPr>
  </w:style>
  <w:style w:type="paragraph" w:styleId="2">
    <w:name w:val="annotation subject"/>
    <w:basedOn w:val="3"/>
    <w:next w:val="3"/>
    <w:link w:val="13"/>
    <w:qFormat/>
    <w:uiPriority w:val="0"/>
    <w:rPr>
      <w:b/>
      <w:bCs/>
    </w:rPr>
  </w:style>
  <w:style w:type="paragraph" w:styleId="3">
    <w:name w:val="annotation text"/>
    <w:basedOn w:val="1"/>
    <w:link w:val="12"/>
    <w:qFormat/>
    <w:uiPriority w:val="0"/>
    <w:pPr>
      <w:jc w:val="left"/>
    </w:pPr>
  </w:style>
  <w:style w:type="paragraph" w:styleId="4">
    <w:name w:val="Body Text Indent"/>
    <w:basedOn w:val="1"/>
    <w:unhideWhenUsed/>
    <w:qFormat/>
    <w:uiPriority w:val="0"/>
    <w:pPr>
      <w:ind w:firstLine="630"/>
    </w:pPr>
    <w:rPr>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character" w:styleId="9">
    <w:name w:val="annotation reference"/>
    <w:qFormat/>
    <w:uiPriority w:val="0"/>
    <w:rPr>
      <w:sz w:val="21"/>
      <w:szCs w:val="21"/>
    </w:rPr>
  </w:style>
  <w:style w:type="paragraph" w:customStyle="1" w:styleId="1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2">
    <w:name w:val="批注文字 Char"/>
    <w:link w:val="3"/>
    <w:qFormat/>
    <w:uiPriority w:val="0"/>
    <w:rPr>
      <w:kern w:val="2"/>
      <w:sz w:val="21"/>
      <w:szCs w:val="24"/>
    </w:rPr>
  </w:style>
  <w:style w:type="character" w:customStyle="1" w:styleId="13">
    <w:name w:val="批注主题 Char"/>
    <w:link w:val="2"/>
    <w:qFormat/>
    <w:uiPriority w:val="0"/>
    <w:rPr>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16</Pages>
  <Words>15267</Words>
  <Characters>15689</Characters>
  <Lines>117</Lines>
  <Paragraphs>32</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2023-01-28T07:38:00Z</dcterms:created>
  <dc:creator>ylh</dc:creator>
  <cp:keywords>稳健低波</cp:keywords>
  <cp:lastModifiedBy>hxlcwangyuehui</cp:lastModifiedBy>
  <cp:lastPrinted>2021-07-21T07:06:00Z</cp:lastPrinted>
  <dcterms:modified xsi:type="dcterms:W3CDTF">2023-03-01T05:47:05Z</dcterms:modified>
  <dc:title>华夏理财固定收益债权型封闭式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7FD58229F76F425C97CE679FD6D5D50E</vt:lpwstr>
  </property>
</Properties>
</file>