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D212F3" w:rsidRPr="00D212F3">
        <w:rPr>
          <w:rFonts w:eastAsia="黑体" w:hint="eastAsia"/>
          <w:bCs/>
          <w:sz w:val="36"/>
          <w:szCs w:val="36"/>
        </w:rPr>
        <w:t>84</w:t>
      </w:r>
      <w:r w:rsidR="00D212F3" w:rsidRPr="00D212F3">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D212F3" w:rsidRPr="00A428E9">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D212F3" w:rsidRPr="00D212F3">
              <w:rPr>
                <w:rFonts w:ascii="仿宋" w:eastAsia="仿宋" w:hAnsi="仿宋" w:hint="eastAsia"/>
                <w:b/>
                <w:bCs/>
                <w:szCs w:val="21"/>
              </w:rPr>
              <w:t>84号</w:t>
            </w:r>
          </w:p>
          <w:p w:rsidR="004E0739" w:rsidRDefault="00812191" w:rsidP="00D212F3">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简称：“华夏理财固收债权封闭式</w:t>
            </w:r>
            <w:r w:rsidR="00D212F3" w:rsidRPr="00D212F3">
              <w:rPr>
                <w:rFonts w:ascii="仿宋" w:eastAsia="仿宋" w:hAnsi="仿宋" w:hint="eastAsia"/>
                <w:b/>
                <w:bCs/>
                <w:szCs w:val="21"/>
              </w:rPr>
              <w:t>84号</w:t>
            </w:r>
            <w:r w:rsidR="00D212F3">
              <w:rPr>
                <w:rFonts w:ascii="仿宋" w:eastAsia="仿宋" w:hAnsi="仿宋"/>
                <w:b/>
                <w:bCs/>
                <w:szCs w:val="21"/>
              </w:rPr>
              <w:t>186</w:t>
            </w:r>
            <w:r w:rsidR="00BB69FA" w:rsidRPr="00BB69FA">
              <w:rPr>
                <w:rFonts w:ascii="仿宋" w:eastAsia="仿宋" w:hAnsi="仿宋" w:hint="eastAsia"/>
                <w:b/>
                <w:bCs/>
                <w:szCs w:val="21"/>
              </w:rPr>
              <w:t>天</w:t>
            </w:r>
            <w:r>
              <w:rPr>
                <w:rFonts w:ascii="仿宋" w:eastAsia="仿宋" w:hAnsi="仿宋" w:hint="eastAsia"/>
                <w:b/>
                <w:bCs/>
                <w:szCs w:val="21"/>
              </w:rPr>
              <w:t>”</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rsidP="00CA6FCF">
            <w:pPr>
              <w:adjustRightInd w:val="0"/>
              <w:snapToGrid w:val="0"/>
              <w:spacing w:line="300" w:lineRule="exact"/>
              <w:jc w:val="center"/>
              <w:rPr>
                <w:rFonts w:ascii="仿宋" w:eastAsia="仿宋" w:hAnsi="仿宋"/>
                <w:bCs/>
                <w:szCs w:val="21"/>
              </w:rPr>
            </w:pPr>
            <w:r w:rsidRPr="00D212F3">
              <w:rPr>
                <w:rFonts w:ascii="仿宋" w:eastAsia="仿宋" w:hAnsi="仿宋"/>
                <w:bCs/>
                <w:szCs w:val="21"/>
              </w:rPr>
              <w:t>23121084</w:t>
            </w:r>
            <w:r w:rsidR="00CA6FCF" w:rsidRPr="00CA6FCF">
              <w:rPr>
                <w:rFonts w:ascii="仿宋" w:eastAsia="仿宋" w:hAnsi="仿宋" w:hint="eastAsia"/>
                <w:bCs/>
                <w:szCs w:val="21"/>
              </w:rPr>
              <w:t>（招商银行销售代码：HX01021</w:t>
            </w:r>
            <w:r w:rsidR="00CA6FCF">
              <w:rPr>
                <w:rFonts w:ascii="仿宋" w:eastAsia="仿宋" w:hAnsi="仿宋"/>
                <w:bCs/>
                <w:szCs w:val="21"/>
              </w:rPr>
              <w:t>3</w:t>
            </w:r>
            <w:r w:rsidR="00CA6FCF" w:rsidRPr="00CA6FCF">
              <w:rPr>
                <w:rFonts w:ascii="仿宋" w:eastAsia="仿宋" w:hAnsi="仿宋" w:hint="eastAsia"/>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pPr>
              <w:keepNext/>
              <w:adjustRightInd w:val="0"/>
              <w:snapToGrid w:val="0"/>
              <w:spacing w:line="300" w:lineRule="exact"/>
              <w:jc w:val="center"/>
              <w:rPr>
                <w:rFonts w:ascii="仿宋" w:eastAsia="仿宋" w:hAnsi="仿宋"/>
                <w:bCs/>
                <w:szCs w:val="21"/>
              </w:rPr>
            </w:pPr>
            <w:r w:rsidRPr="00D212F3">
              <w:rPr>
                <w:rFonts w:ascii="仿宋" w:eastAsia="仿宋" w:hAnsi="仿宋"/>
                <w:bCs/>
                <w:szCs w:val="21"/>
              </w:rPr>
              <w:t>Z7003923000108</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C4438D" w:rsidRPr="00C4438D" w:rsidRDefault="00812191" w:rsidP="00C4438D">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w:t>
            </w:r>
            <w:r>
              <w:rPr>
                <w:rFonts w:ascii="仿宋" w:eastAsia="仿宋" w:hAnsi="仿宋" w:hint="eastAsia"/>
                <w:bCs/>
                <w:szCs w:val="21"/>
              </w:rPr>
              <w:t>比较</w:t>
            </w:r>
            <w:r>
              <w:rPr>
                <w:rFonts w:ascii="仿宋" w:eastAsia="仿宋" w:hAnsi="仿宋" w:cs="Cambria" w:hint="eastAsia"/>
                <w:bCs/>
                <w:szCs w:val="21"/>
              </w:rPr>
              <w:t>基准为</w:t>
            </w:r>
            <w:r w:rsidR="00D212F3" w:rsidRPr="004530CC">
              <w:rPr>
                <w:rFonts w:ascii="仿宋" w:eastAsia="仿宋" w:hAnsi="仿宋" w:cs="Cambria"/>
                <w:bCs/>
                <w:szCs w:val="21"/>
              </w:rPr>
              <w:t>2.80%-</w:t>
            </w:r>
            <w:r w:rsidR="00D212F3">
              <w:rPr>
                <w:rFonts w:ascii="仿宋" w:eastAsia="仿宋" w:hAnsi="仿宋" w:cs="Cambria"/>
                <w:bCs/>
                <w:szCs w:val="21"/>
              </w:rPr>
              <w:t>3.0</w:t>
            </w:r>
            <w:r w:rsidR="00D212F3" w:rsidRPr="004530CC">
              <w:rPr>
                <w:rFonts w:ascii="仿宋" w:eastAsia="仿宋" w:hAnsi="仿宋" w:cs="Cambria"/>
                <w:bCs/>
                <w:szCs w:val="21"/>
              </w:rPr>
              <w:t>0%</w:t>
            </w:r>
            <w:r>
              <w:rPr>
                <w:rFonts w:ascii="仿宋" w:eastAsia="仿宋" w:hAnsi="仿宋" w:cs="Cambria" w:hint="eastAsia"/>
                <w:bCs/>
                <w:szCs w:val="21"/>
              </w:rPr>
              <w:t>（年化）。</w:t>
            </w:r>
            <w:r w:rsidR="00B15317" w:rsidRPr="00B15317">
              <w:rPr>
                <w:rFonts w:ascii="仿宋" w:eastAsia="仿宋" w:hAnsi="仿宋" w:cs="Cambria" w:hint="eastAsia"/>
                <w:bCs/>
                <w:szCs w:val="21"/>
              </w:rPr>
              <w:t>以产品投资存款类资产</w:t>
            </w:r>
            <w:proofErr w:type="gramStart"/>
            <w:r w:rsidR="00B15317" w:rsidRPr="00B15317">
              <w:rPr>
                <w:rFonts w:ascii="仿宋" w:eastAsia="仿宋" w:hAnsi="仿宋" w:cs="Cambria" w:hint="eastAsia"/>
                <w:bCs/>
                <w:szCs w:val="21"/>
              </w:rPr>
              <w:t>仓位</w:t>
            </w:r>
            <w:proofErr w:type="gramEnd"/>
            <w:r w:rsidR="00B15317" w:rsidRPr="00B15317">
              <w:rPr>
                <w:rFonts w:ascii="仿宋" w:eastAsia="仿宋" w:hAnsi="仿宋" w:cs="Cambria" w:hint="eastAsia"/>
                <w:bCs/>
                <w:szCs w:val="21"/>
              </w:rPr>
              <w:t>80%-100%，非标债权类资产</w:t>
            </w:r>
            <w:proofErr w:type="gramStart"/>
            <w:r w:rsidR="00B15317" w:rsidRPr="00B15317">
              <w:rPr>
                <w:rFonts w:ascii="仿宋" w:eastAsia="仿宋" w:hAnsi="仿宋" w:cs="Cambria" w:hint="eastAsia"/>
                <w:bCs/>
                <w:szCs w:val="21"/>
              </w:rPr>
              <w:t>仓位</w:t>
            </w:r>
            <w:proofErr w:type="gramEnd"/>
            <w:r w:rsidR="00B15317" w:rsidRPr="00B15317">
              <w:rPr>
                <w:rFonts w:ascii="仿宋" w:eastAsia="仿宋" w:hAnsi="仿宋" w:cs="Cambria" w:hint="eastAsia"/>
                <w:bCs/>
                <w:szCs w:val="21"/>
              </w:rPr>
              <w:t>0-20%</w:t>
            </w:r>
            <w:r w:rsidR="00AA7A33">
              <w:rPr>
                <w:rFonts w:ascii="仿宋" w:eastAsia="仿宋" w:hAnsi="仿宋" w:cs="Cambria" w:hint="eastAsia"/>
                <w:bCs/>
                <w:szCs w:val="21"/>
              </w:rPr>
              <w:t>为例</w:t>
            </w:r>
            <w:r w:rsidR="00B15317" w:rsidRPr="00B15317">
              <w:rPr>
                <w:rFonts w:ascii="仿宋" w:eastAsia="仿宋" w:hAnsi="仿宋" w:cs="Cambria" w:hint="eastAsia"/>
                <w:bCs/>
                <w:szCs w:val="21"/>
              </w:rPr>
              <w:t>，参考当前存款类资产收益水平、非标债权类资产目标收益率，结合产品投资策略并扣除各项费用后，综合测算得出上述业绩比较基准。测算示例仅供参考，具体资产投资比例可根据各类资产的收益水平、流动性特征、信用风险等因素动态调整。</w:t>
            </w:r>
          </w:p>
          <w:p w:rsidR="004E0739" w:rsidRDefault="00C4438D">
            <w:pPr>
              <w:adjustRightInd w:val="0"/>
              <w:snapToGrid w:val="0"/>
              <w:spacing w:line="240" w:lineRule="atLeast"/>
              <w:ind w:firstLineChars="200" w:firstLine="420"/>
              <w:rPr>
                <w:rFonts w:ascii="仿宋" w:eastAsia="仿宋" w:hAnsi="仿宋" w:cs="Cambria"/>
                <w:bCs/>
                <w:szCs w:val="21"/>
              </w:rPr>
            </w:pPr>
            <w:r w:rsidRPr="00C4438D">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rsidP="00D212F3">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2023年4月1</w:t>
            </w:r>
            <w:r>
              <w:rPr>
                <w:rFonts w:ascii="仿宋" w:eastAsia="仿宋" w:hAnsi="仿宋"/>
                <w:bCs/>
                <w:szCs w:val="21"/>
              </w:rPr>
              <w:t>4</w:t>
            </w:r>
            <w:r w:rsidRPr="00BB69FA">
              <w:rPr>
                <w:rFonts w:ascii="仿宋" w:eastAsia="仿宋" w:hAnsi="仿宋" w:hint="eastAsia"/>
                <w:bCs/>
                <w:szCs w:val="21"/>
              </w:rPr>
              <w:t>日</w:t>
            </w:r>
            <w:r w:rsidR="00812191">
              <w:rPr>
                <w:rFonts w:ascii="仿宋" w:eastAsia="仿宋" w:hAnsi="仿宋"/>
                <w:bCs/>
                <w:szCs w:val="21"/>
              </w:rPr>
              <w:t>－</w:t>
            </w:r>
            <w:r w:rsidRPr="00BB69FA">
              <w:rPr>
                <w:rFonts w:ascii="仿宋" w:eastAsia="仿宋" w:hAnsi="仿宋" w:hint="eastAsia"/>
                <w:bCs/>
                <w:szCs w:val="21"/>
              </w:rPr>
              <w:t>2023年4月</w:t>
            </w:r>
            <w:r>
              <w:rPr>
                <w:rFonts w:ascii="仿宋" w:eastAsia="仿宋" w:hAnsi="仿宋"/>
                <w:bCs/>
                <w:szCs w:val="21"/>
              </w:rPr>
              <w:t>20</w:t>
            </w:r>
            <w:r w:rsidRPr="00BB69FA">
              <w:rPr>
                <w:rFonts w:ascii="仿宋" w:eastAsia="仿宋" w:hAnsi="仿宋" w:hint="eastAsia"/>
                <w:bCs/>
                <w:szCs w:val="21"/>
              </w:rPr>
              <w:t>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2"/>
      <w:bookmarkEnd w:id="3"/>
      <w:bookmarkEnd w:id="4"/>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rsidP="00D212F3">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2023年4月</w:t>
            </w:r>
            <w:r>
              <w:rPr>
                <w:rFonts w:ascii="仿宋" w:eastAsia="仿宋" w:hAnsi="仿宋"/>
                <w:bCs/>
                <w:szCs w:val="21"/>
              </w:rPr>
              <w:t>2</w:t>
            </w:r>
            <w:r w:rsidRPr="00BB69FA">
              <w:rPr>
                <w:rFonts w:ascii="仿宋" w:eastAsia="仿宋" w:hAnsi="仿宋" w:hint="eastAsia"/>
                <w:bCs/>
                <w:szCs w:val="21"/>
              </w:rPr>
              <w:t>1日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186</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D212F3" w:rsidP="00D212F3">
            <w:pPr>
              <w:adjustRightInd w:val="0"/>
              <w:snapToGrid w:val="0"/>
              <w:spacing w:line="300" w:lineRule="exact"/>
              <w:ind w:firstLineChars="200" w:firstLine="420"/>
              <w:rPr>
                <w:rFonts w:ascii="仿宋" w:eastAsia="仿宋" w:hAnsi="仿宋"/>
                <w:bCs/>
                <w:szCs w:val="21"/>
              </w:rPr>
            </w:pPr>
            <w:r w:rsidRPr="00BB69FA">
              <w:rPr>
                <w:rFonts w:ascii="仿宋" w:eastAsia="仿宋" w:hAnsi="仿宋" w:hint="eastAsia"/>
                <w:bCs/>
                <w:szCs w:val="21"/>
              </w:rPr>
              <w:t>2023年</w:t>
            </w:r>
            <w:r>
              <w:rPr>
                <w:rFonts w:ascii="仿宋" w:eastAsia="仿宋" w:hAnsi="仿宋"/>
                <w:bCs/>
                <w:szCs w:val="21"/>
              </w:rPr>
              <w:t>10</w:t>
            </w:r>
            <w:r w:rsidRPr="00BB69FA">
              <w:rPr>
                <w:rFonts w:ascii="仿宋" w:eastAsia="仿宋" w:hAnsi="仿宋" w:hint="eastAsia"/>
                <w:bCs/>
                <w:szCs w:val="21"/>
              </w:rPr>
              <w:t>月</w:t>
            </w:r>
            <w:r>
              <w:rPr>
                <w:rFonts w:ascii="仿宋" w:eastAsia="仿宋" w:hAnsi="仿宋"/>
                <w:bCs/>
                <w:szCs w:val="21"/>
              </w:rPr>
              <w:t>24</w:t>
            </w:r>
            <w:r w:rsidRPr="00BB69FA">
              <w:rPr>
                <w:rFonts w:ascii="仿宋" w:eastAsia="仿宋" w:hAnsi="仿宋" w:hint="eastAsia"/>
                <w:bCs/>
                <w:szCs w:val="21"/>
              </w:rPr>
              <w:t>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w:t>
            </w:r>
            <w:r>
              <w:rPr>
                <w:rFonts w:ascii="仿宋" w:eastAsia="仿宋" w:hAnsi="仿宋" w:hint="eastAsia"/>
                <w:b/>
                <w:bCs/>
                <w:color w:val="000000"/>
                <w:szCs w:val="21"/>
              </w:rPr>
              <w:lastRenderedPageBreak/>
              <w:t>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D212F3">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D212F3">
              <w:rPr>
                <w:rFonts w:ascii="仿宋" w:eastAsia="仿宋" w:hAnsi="仿宋"/>
                <w:bCs/>
                <w:szCs w:val="21"/>
              </w:rPr>
              <w:t>20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w:t>
            </w:r>
            <w:r>
              <w:rPr>
                <w:rFonts w:ascii="仿宋" w:eastAsia="仿宋" w:hAnsi="仿宋" w:hint="eastAsia"/>
                <w:bCs/>
                <w:szCs w:val="21"/>
              </w:rPr>
              <w:lastRenderedPageBreak/>
              <w:t>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D212F3">
              <w:rPr>
                <w:rFonts w:ascii="仿宋" w:eastAsia="仿宋" w:hAnsi="仿宋"/>
                <w:b/>
                <w:szCs w:val="21"/>
              </w:rPr>
              <w:t>0.1</w:t>
            </w:r>
            <w:r w:rsidR="00B15317">
              <w:rPr>
                <w:rFonts w:ascii="仿宋" w:eastAsia="仿宋" w:hAnsi="仿宋"/>
                <w:b/>
                <w:szCs w:val="21"/>
              </w:rPr>
              <w:t>0</w:t>
            </w:r>
            <w:r w:rsidR="00D212F3">
              <w:rPr>
                <w:rFonts w:ascii="仿宋" w:eastAsia="仿宋" w:hAnsi="仿宋" w:hint="eastAsia"/>
                <w:b/>
                <w:szCs w:val="21"/>
              </w:rPr>
              <w:t>%</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rsidP="00D212F3">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w:t>
            </w:r>
            <w:r w:rsidR="00B15317">
              <w:rPr>
                <w:rFonts w:ascii="仿宋" w:eastAsia="仿宋" w:hAnsi="仿宋"/>
                <w:b/>
                <w:szCs w:val="21"/>
              </w:rPr>
              <w:t>0.10</w:t>
            </w:r>
            <w:r w:rsidR="00B15317">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B15317">
            <w:pPr>
              <w:adjustRightInd w:val="0"/>
              <w:snapToGrid w:val="0"/>
              <w:spacing w:line="240" w:lineRule="atLeast"/>
              <w:ind w:firstLine="420"/>
              <w:jc w:val="left"/>
              <w:rPr>
                <w:rFonts w:ascii="仿宋" w:eastAsia="仿宋" w:hAnsi="仿宋"/>
                <w:b/>
                <w:szCs w:val="21"/>
              </w:rPr>
            </w:pPr>
            <w:r>
              <w:rPr>
                <w:rFonts w:ascii="仿宋" w:eastAsia="仿宋" w:hAnsi="仿宋"/>
                <w:b/>
                <w:szCs w:val="21"/>
              </w:rPr>
              <w:t>0.10</w:t>
            </w:r>
            <w:r>
              <w:rPr>
                <w:rFonts w:ascii="仿宋" w:eastAsia="仿宋" w:hAnsi="仿宋" w:hint="eastAsia"/>
                <w:b/>
                <w:szCs w:val="21"/>
              </w:rPr>
              <w:t>%</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B15317">
              <w:rPr>
                <w:rFonts w:ascii="仿宋" w:eastAsia="仿宋" w:hAnsi="仿宋"/>
                <w:b/>
                <w:szCs w:val="21"/>
              </w:rPr>
              <w:t>0.10</w:t>
            </w:r>
            <w:r w:rsidR="00B15317">
              <w:rPr>
                <w:rFonts w:ascii="仿宋" w:eastAsia="仿宋" w:hAnsi="仿宋" w:hint="eastAsia"/>
                <w:b/>
                <w:szCs w:val="21"/>
              </w:rPr>
              <w:t>%</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超额管理费计提基准为</w:t>
            </w:r>
            <w:r w:rsidR="00D212F3">
              <w:rPr>
                <w:rFonts w:ascii="仿宋" w:eastAsia="仿宋" w:hAnsi="仿宋" w:cs="Cambria"/>
                <w:b/>
                <w:szCs w:val="21"/>
              </w:rPr>
              <w:t>3.0</w:t>
            </w:r>
            <w:r w:rsidR="00D212F3" w:rsidRPr="00D212F3">
              <w:rPr>
                <w:rFonts w:ascii="仿宋" w:eastAsia="仿宋" w:hAnsi="仿宋" w:cs="Cambria"/>
                <w:b/>
                <w:szCs w:val="21"/>
              </w:rPr>
              <w:t>0%</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4E0739">
      <w:pPr>
        <w:pStyle w:val="Default"/>
        <w:snapToGrid w:val="0"/>
        <w:spacing w:afterLines="50" w:after="156" w:line="400" w:lineRule="exact"/>
        <w:ind w:firstLineChars="200" w:firstLine="482"/>
        <w:jc w:val="both"/>
        <w:rPr>
          <w:rFonts w:ascii="Times New Roman" w:eastAsia="黑体" w:cs="Times New Roman"/>
          <w:b/>
          <w:color w:val="auto"/>
        </w:rPr>
      </w:pPr>
    </w:p>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B15317" w:rsidRPr="00B15317" w:rsidRDefault="00B15317">
      <w:pPr>
        <w:widowControl/>
        <w:adjustRightInd w:val="0"/>
        <w:snapToGrid w:val="0"/>
        <w:spacing w:line="276" w:lineRule="auto"/>
        <w:ind w:firstLine="420"/>
        <w:contextualSpacing/>
        <w:rPr>
          <w:rFonts w:ascii="仿宋" w:eastAsia="仿宋" w:hAnsi="仿宋" w:cs="宋体"/>
          <w:b/>
          <w:kern w:val="0"/>
          <w:sz w:val="24"/>
        </w:rPr>
      </w:pPr>
      <w:r w:rsidRPr="00B15317">
        <w:rPr>
          <w:rFonts w:ascii="仿宋" w:eastAsia="仿宋" w:hAnsi="仿宋" w:cs="宋体" w:hint="eastAsia"/>
          <w:b/>
          <w:kern w:val="0"/>
          <w:sz w:val="24"/>
        </w:rPr>
        <w:t>投资策略</w:t>
      </w:r>
      <w:r w:rsidRPr="00B15317">
        <w:rPr>
          <w:rFonts w:ascii="仿宋" w:eastAsia="仿宋" w:hAnsi="仿宋" w:cs="宋体"/>
          <w:b/>
          <w:kern w:val="0"/>
          <w:sz w:val="24"/>
        </w:rPr>
        <w:t>：</w:t>
      </w:r>
    </w:p>
    <w:p w:rsidR="00B15317" w:rsidRDefault="00B15317">
      <w:pPr>
        <w:widowControl/>
        <w:adjustRightInd w:val="0"/>
        <w:snapToGrid w:val="0"/>
        <w:spacing w:line="276" w:lineRule="auto"/>
        <w:ind w:firstLine="420"/>
        <w:contextualSpacing/>
        <w:rPr>
          <w:rFonts w:ascii="仿宋" w:eastAsia="仿宋" w:hAnsi="仿宋" w:cs="宋体" w:hint="eastAsia"/>
          <w:kern w:val="0"/>
          <w:sz w:val="24"/>
        </w:rPr>
      </w:pPr>
      <w:r>
        <w:rPr>
          <w:rFonts w:ascii="仿宋" w:eastAsia="仿宋" w:hAnsi="仿宋" w:cs="宋体" w:hint="eastAsia"/>
          <w:color w:val="000000"/>
          <w:kern w:val="0"/>
          <w:sz w:val="24"/>
        </w:rPr>
        <w:t>本理财产品计划</w:t>
      </w:r>
      <w:r w:rsidR="00136B95" w:rsidRPr="00136B95">
        <w:rPr>
          <w:rFonts w:ascii="仿宋" w:eastAsia="仿宋" w:hAnsi="仿宋" w:cs="宋体" w:hint="eastAsia"/>
          <w:color w:val="000000"/>
          <w:kern w:val="0"/>
          <w:sz w:val="24"/>
        </w:rPr>
        <w:t>不低于</w:t>
      </w:r>
      <w:bookmarkStart w:id="5" w:name="_GoBack"/>
      <w:bookmarkEnd w:id="5"/>
      <w:r>
        <w:rPr>
          <w:rFonts w:ascii="仿宋" w:eastAsia="仿宋" w:hAnsi="仿宋" w:cs="宋体"/>
          <w:color w:val="000000"/>
          <w:kern w:val="0"/>
          <w:sz w:val="24"/>
        </w:rPr>
        <w:t>8</w:t>
      </w:r>
      <w:r>
        <w:rPr>
          <w:rFonts w:ascii="仿宋" w:eastAsia="仿宋" w:hAnsi="仿宋" w:cs="宋体" w:hint="eastAsia"/>
          <w:color w:val="000000"/>
          <w:kern w:val="0"/>
          <w:sz w:val="24"/>
        </w:rPr>
        <w:t>0%投资于存款类、同业存单及债券逆回购等低波动类资产</w:t>
      </w:r>
      <w:r w:rsidR="003B4F85">
        <w:rPr>
          <w:rFonts w:ascii="仿宋" w:eastAsia="仿宋" w:hAnsi="仿宋" w:cs="宋体" w:hint="eastAsia"/>
          <w:color w:val="000000"/>
          <w:kern w:val="0"/>
          <w:sz w:val="24"/>
        </w:rPr>
        <w:t>，</w:t>
      </w:r>
      <w:r w:rsidR="003B4F85" w:rsidRPr="003B4F85">
        <w:rPr>
          <w:rFonts w:ascii="仿宋" w:eastAsia="仿宋" w:hAnsi="仿宋" w:cs="宋体" w:hint="eastAsia"/>
          <w:color w:val="000000"/>
          <w:kern w:val="0"/>
          <w:sz w:val="24"/>
        </w:rPr>
        <w:t>不高于20%投资于同业借款</w:t>
      </w:r>
      <w:r w:rsidR="003B4F85">
        <w:rPr>
          <w:rFonts w:ascii="仿宋" w:eastAsia="仿宋" w:hAnsi="仿宋" w:cs="宋体" w:hint="eastAsia"/>
          <w:color w:val="000000"/>
          <w:kern w:val="0"/>
          <w:sz w:val="24"/>
        </w:rPr>
        <w:t>等非标准化债权类资产</w:t>
      </w:r>
      <w:r>
        <w:rPr>
          <w:rFonts w:ascii="仿宋" w:eastAsia="仿宋" w:hAnsi="仿宋" w:cs="宋体" w:hint="eastAsia"/>
          <w:color w:val="000000"/>
          <w:kern w:val="0"/>
          <w:sz w:val="24"/>
        </w:rPr>
        <w:t>。</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w:t>
      </w:r>
      <w:r>
        <w:rPr>
          <w:rFonts w:ascii="仿宋" w:eastAsia="仿宋" w:hAnsi="仿宋" w:cs="宋体" w:hint="eastAsia"/>
          <w:color w:val="000000"/>
          <w:kern w:val="0"/>
          <w:sz w:val="24"/>
        </w:rPr>
        <w:lastRenderedPageBreak/>
        <w:t>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lastRenderedPageBreak/>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w:t>
      </w:r>
      <w:r>
        <w:rPr>
          <w:rFonts w:eastAsia="黑体" w:hint="eastAsia"/>
          <w:b/>
          <w:sz w:val="24"/>
        </w:rPr>
        <w:lastRenderedPageBreak/>
        <w:t>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w:t>
      </w:r>
      <w:r>
        <w:rPr>
          <w:rFonts w:ascii="仿宋" w:eastAsia="仿宋" w:hAnsi="仿宋" w:hint="eastAsia"/>
          <w:color w:val="auto"/>
        </w:rPr>
        <w:lastRenderedPageBreak/>
        <w:t>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D212F3" w:rsidRPr="00D212F3">
        <w:rPr>
          <w:rFonts w:ascii="仿宋" w:eastAsia="仿宋" w:hAnsi="仿宋" w:hint="eastAsia"/>
          <w:color w:val="auto"/>
        </w:rPr>
        <w:t>场外申赎</w:t>
      </w:r>
      <w:proofErr w:type="gramEnd"/>
      <w:r w:rsidR="00D212F3" w:rsidRPr="00D212F3">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D212F3" w:rsidRPr="00D212F3">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lastRenderedPageBreak/>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w:t>
      </w:r>
      <w:r>
        <w:rPr>
          <w:rFonts w:ascii="Times New Roman" w:eastAsia="黑体" w:cs="Times New Roman"/>
          <w:b/>
          <w:color w:val="auto"/>
        </w:rPr>
        <w:lastRenderedPageBreak/>
        <w:t>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w:t>
      </w:r>
      <w:r>
        <w:rPr>
          <w:rFonts w:eastAsia="黑体" w:hint="eastAsia"/>
          <w:b/>
          <w:kern w:val="0"/>
          <w:sz w:val="24"/>
        </w:rPr>
        <w:lastRenderedPageBreak/>
        <w:t>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lastRenderedPageBreak/>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D212F3" w:rsidRPr="00D212F3">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w:t>
      </w:r>
      <w:r>
        <w:rPr>
          <w:rFonts w:ascii="仿宋" w:eastAsia="仿宋" w:hAnsi="仿宋" w:cs="宋体"/>
          <w:b/>
          <w:kern w:val="0"/>
          <w:sz w:val="24"/>
        </w:rPr>
        <w:lastRenderedPageBreak/>
        <w:t>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D212F3" w:rsidRPr="00D212F3">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lastRenderedPageBreak/>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36B95"/>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24FE0"/>
    <w:rsid w:val="00333AEC"/>
    <w:rsid w:val="0033431D"/>
    <w:rsid w:val="00344E4C"/>
    <w:rsid w:val="00345CAB"/>
    <w:rsid w:val="003536CA"/>
    <w:rsid w:val="003750FE"/>
    <w:rsid w:val="0037769D"/>
    <w:rsid w:val="00380E25"/>
    <w:rsid w:val="00383192"/>
    <w:rsid w:val="00386DF5"/>
    <w:rsid w:val="003B4F8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540D6"/>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9F39D7"/>
    <w:rsid w:val="00A10AA6"/>
    <w:rsid w:val="00A23D14"/>
    <w:rsid w:val="00A40B5C"/>
    <w:rsid w:val="00A55BA0"/>
    <w:rsid w:val="00A762A9"/>
    <w:rsid w:val="00AA20BC"/>
    <w:rsid w:val="00AA7A33"/>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15317"/>
    <w:rsid w:val="00B2549A"/>
    <w:rsid w:val="00B26E45"/>
    <w:rsid w:val="00B302D6"/>
    <w:rsid w:val="00B33142"/>
    <w:rsid w:val="00B34C10"/>
    <w:rsid w:val="00B37587"/>
    <w:rsid w:val="00B64A10"/>
    <w:rsid w:val="00B7068C"/>
    <w:rsid w:val="00B835AA"/>
    <w:rsid w:val="00B86087"/>
    <w:rsid w:val="00B90CDB"/>
    <w:rsid w:val="00B960A6"/>
    <w:rsid w:val="00B97A5C"/>
    <w:rsid w:val="00BB69FA"/>
    <w:rsid w:val="00BE1009"/>
    <w:rsid w:val="00BE486A"/>
    <w:rsid w:val="00C2501F"/>
    <w:rsid w:val="00C26621"/>
    <w:rsid w:val="00C31A7D"/>
    <w:rsid w:val="00C34C70"/>
    <w:rsid w:val="00C4438D"/>
    <w:rsid w:val="00C7590C"/>
    <w:rsid w:val="00CA6243"/>
    <w:rsid w:val="00CA6FCF"/>
    <w:rsid w:val="00CB07A0"/>
    <w:rsid w:val="00CB300C"/>
    <w:rsid w:val="00CC6613"/>
    <w:rsid w:val="00CD1AC8"/>
    <w:rsid w:val="00D03E60"/>
    <w:rsid w:val="00D06EC1"/>
    <w:rsid w:val="00D07C3B"/>
    <w:rsid w:val="00D20E48"/>
    <w:rsid w:val="00D212F3"/>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72841"/>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87C6753-52B8-4CE6-BF56-F97987EBE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2381</Words>
  <Characters>13576</Characters>
  <Application>Microsoft Office Word</Application>
  <DocSecurity>0</DocSecurity>
  <Lines>113</Lines>
  <Paragraphs>31</Paragraphs>
  <ScaleCrop>false</ScaleCrop>
  <Company>华夏银行总行</Company>
  <LinksUpToDate>false</LinksUpToDate>
  <CharactersWithSpaces>15926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3</cp:revision>
  <cp:lastPrinted>2021-07-21T07:06:00Z</cp:lastPrinted>
  <dcterms:created xsi:type="dcterms:W3CDTF">2023-04-11T08:26:00Z</dcterms:created>
  <dcterms:modified xsi:type="dcterms:W3CDTF">2023-04-11T08:28:00Z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