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9F2" w:rsidRDefault="0070639F">
      <w:pPr>
        <w:pStyle w:val="a9"/>
        <w:widowControl/>
        <w:spacing w:line="240" w:lineRule="auto"/>
        <w:ind w:firstLine="0"/>
        <w:jc w:val="center"/>
        <w:rPr>
          <w:rFonts w:eastAsia="黑体"/>
          <w:bCs/>
          <w:sz w:val="36"/>
          <w:szCs w:val="36"/>
        </w:rPr>
      </w:pPr>
      <w:bookmarkStart w:id="0" w:name="_GoBack"/>
      <w:bookmarkEnd w:id="0"/>
      <w:r>
        <w:rPr>
          <w:rFonts w:eastAsia="黑体" w:hint="eastAsia"/>
          <w:bCs/>
          <w:sz w:val="36"/>
          <w:szCs w:val="36"/>
        </w:rPr>
        <w:t>华夏理财固定收益</w:t>
      </w:r>
      <w:proofErr w:type="gramStart"/>
      <w:r>
        <w:rPr>
          <w:rFonts w:eastAsia="黑体" w:hint="eastAsia"/>
          <w:bCs/>
          <w:sz w:val="36"/>
          <w:szCs w:val="36"/>
        </w:rPr>
        <w:t>纯债型</w:t>
      </w:r>
      <w:proofErr w:type="gramEnd"/>
      <w:r>
        <w:rPr>
          <w:rFonts w:eastAsia="黑体" w:hint="eastAsia"/>
          <w:bCs/>
          <w:sz w:val="36"/>
          <w:szCs w:val="36"/>
        </w:rPr>
        <w:t>封闭式理财产品</w:t>
      </w:r>
      <w:r w:rsidR="00B47353" w:rsidRPr="00B47353">
        <w:rPr>
          <w:rFonts w:eastAsia="黑体" w:hint="eastAsia"/>
          <w:bCs/>
          <w:sz w:val="36"/>
          <w:szCs w:val="36"/>
        </w:rPr>
        <w:t>61</w:t>
      </w:r>
      <w:r w:rsidR="00B47353" w:rsidRPr="00B47353">
        <w:rPr>
          <w:rFonts w:eastAsia="黑体" w:hint="eastAsia"/>
          <w:bCs/>
          <w:sz w:val="36"/>
          <w:szCs w:val="36"/>
        </w:rPr>
        <w:t>号</w:t>
      </w:r>
    </w:p>
    <w:p w:rsidR="007529F2" w:rsidRDefault="0070639F">
      <w:pPr>
        <w:pStyle w:val="a9"/>
        <w:widowControl/>
        <w:spacing w:line="240" w:lineRule="auto"/>
        <w:ind w:firstLine="0"/>
        <w:jc w:val="center"/>
        <w:rPr>
          <w:rFonts w:eastAsia="黑体"/>
          <w:bCs/>
          <w:sz w:val="36"/>
          <w:szCs w:val="36"/>
        </w:rPr>
      </w:pPr>
      <w:r>
        <w:rPr>
          <w:rFonts w:eastAsia="黑体" w:hint="eastAsia"/>
          <w:bCs/>
          <w:sz w:val="36"/>
          <w:szCs w:val="36"/>
        </w:rPr>
        <w:t>说明书</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69"/>
      </w:tblGrid>
      <w:tr w:rsidR="007529F2">
        <w:trPr>
          <w:trHeight w:val="6140"/>
          <w:jc w:val="center"/>
        </w:trPr>
        <w:tc>
          <w:tcPr>
            <w:tcW w:w="8569" w:type="dxa"/>
            <w:tcBorders>
              <w:top w:val="single" w:sz="4" w:space="0" w:color="auto"/>
              <w:left w:val="single" w:sz="4" w:space="0" w:color="auto"/>
              <w:right w:val="single" w:sz="4" w:space="0" w:color="auto"/>
            </w:tcBorders>
            <w:vAlign w:val="center"/>
          </w:tcPr>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w:t>
            </w:r>
            <w:r w:rsidR="00A428E9" w:rsidRPr="00A428E9">
              <w:rPr>
                <w:rFonts w:ascii="黑体" w:eastAsia="黑体" w:hAnsi="黑体" w:hint="eastAsia"/>
                <w:b/>
                <w:sz w:val="28"/>
                <w:szCs w:val="28"/>
                <w:u w:val="single"/>
              </w:rPr>
              <w:t>华夏理财有限责任公司官方网站（www.hxwm.com.cn）、</w:t>
            </w:r>
            <w:r>
              <w:rPr>
                <w:rFonts w:ascii="黑体" w:eastAsia="黑体" w:hAnsi="黑体"/>
                <w:b/>
                <w:sz w:val="28"/>
                <w:szCs w:val="28"/>
                <w:u w:val="single"/>
              </w:rPr>
              <w:t>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1" w:name="_Hlk76301410"/>
            <w:r>
              <w:rPr>
                <w:rFonts w:ascii="黑体" w:eastAsia="黑体" w:hAnsi="黑体" w:hint="eastAsia"/>
                <w:b/>
                <w:sz w:val="28"/>
                <w:szCs w:val="28"/>
                <w:u w:val="single"/>
              </w:rPr>
              <w:t>华夏银行客户服务热线95577或其他代理销售机构客户服务热线</w:t>
            </w:r>
            <w:bookmarkEnd w:id="1"/>
            <w:r>
              <w:rPr>
                <w:rFonts w:ascii="黑体" w:eastAsia="黑体" w:hAnsi="黑体" w:hint="eastAsia"/>
                <w:b/>
                <w:sz w:val="28"/>
                <w:szCs w:val="28"/>
                <w:u w:val="single"/>
              </w:rPr>
              <w:t>。</w:t>
            </w:r>
          </w:p>
        </w:tc>
      </w:tr>
    </w:tbl>
    <w:p w:rsidR="007529F2" w:rsidRDefault="0070639F">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7529F2">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w:t>
            </w:r>
            <w:proofErr w:type="gramStart"/>
            <w:r>
              <w:rPr>
                <w:rFonts w:ascii="仿宋" w:eastAsia="仿宋" w:hAnsi="仿宋" w:hint="eastAsia"/>
                <w:b/>
                <w:bCs/>
                <w:szCs w:val="21"/>
              </w:rPr>
              <w:t>纯债型</w:t>
            </w:r>
            <w:proofErr w:type="gramEnd"/>
            <w:r>
              <w:rPr>
                <w:rFonts w:ascii="仿宋" w:eastAsia="仿宋" w:hAnsi="仿宋" w:hint="eastAsia"/>
                <w:b/>
                <w:bCs/>
                <w:szCs w:val="21"/>
              </w:rPr>
              <w:t>封闭式理财产品</w:t>
            </w:r>
            <w:r w:rsidR="00B47353" w:rsidRPr="00B47353">
              <w:rPr>
                <w:rFonts w:ascii="仿宋" w:eastAsia="仿宋" w:hAnsi="仿宋" w:hint="eastAsia"/>
                <w:b/>
                <w:bCs/>
                <w:szCs w:val="21"/>
              </w:rPr>
              <w:t>61号</w:t>
            </w:r>
          </w:p>
          <w:p w:rsidR="007529F2" w:rsidRDefault="0070639F" w:rsidP="00583E9D">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A份额简称：“华夏理财固收纯债封闭式</w:t>
            </w:r>
            <w:r w:rsidR="00B47353" w:rsidRPr="00B47353">
              <w:rPr>
                <w:rFonts w:ascii="仿宋" w:eastAsia="仿宋" w:hAnsi="仿宋" w:hint="eastAsia"/>
                <w:b/>
                <w:bCs/>
                <w:szCs w:val="21"/>
              </w:rPr>
              <w:t>61号95天</w:t>
            </w:r>
            <w:r>
              <w:rPr>
                <w:rFonts w:ascii="仿宋" w:eastAsia="仿宋" w:hAnsi="仿宋" w:hint="eastAsia"/>
                <w:b/>
                <w:bCs/>
                <w:szCs w:val="21"/>
              </w:rPr>
              <w:t>A”</w:t>
            </w:r>
          </w:p>
          <w:p w:rsidR="00583E9D" w:rsidRDefault="00583E9D" w:rsidP="00583E9D">
            <w:pPr>
              <w:adjustRightInd w:val="0"/>
              <w:snapToGrid w:val="0"/>
              <w:spacing w:line="300" w:lineRule="exact"/>
              <w:jc w:val="center"/>
              <w:rPr>
                <w:rFonts w:ascii="仿宋" w:eastAsia="仿宋" w:hAnsi="仿宋"/>
                <w:b/>
                <w:bCs/>
                <w:szCs w:val="21"/>
              </w:rPr>
            </w:pPr>
            <w:r>
              <w:rPr>
                <w:rFonts w:ascii="仿宋" w:eastAsia="仿宋" w:hAnsi="仿宋"/>
                <w:b/>
                <w:bCs/>
                <w:szCs w:val="21"/>
              </w:rPr>
              <w:t>B</w:t>
            </w:r>
            <w:r>
              <w:rPr>
                <w:rFonts w:ascii="仿宋" w:eastAsia="仿宋" w:hAnsi="仿宋" w:hint="eastAsia"/>
                <w:b/>
                <w:bCs/>
                <w:szCs w:val="21"/>
              </w:rPr>
              <w:t>份额简称：“华夏理财固收纯债封闭式</w:t>
            </w:r>
            <w:r w:rsidR="00B47353" w:rsidRPr="00B47353">
              <w:rPr>
                <w:rFonts w:ascii="仿宋" w:eastAsia="仿宋" w:hAnsi="仿宋" w:hint="eastAsia"/>
                <w:b/>
                <w:bCs/>
                <w:szCs w:val="21"/>
              </w:rPr>
              <w:t>61号95天</w:t>
            </w:r>
            <w:r>
              <w:rPr>
                <w:rFonts w:ascii="仿宋" w:eastAsia="仿宋" w:hAnsi="仿宋"/>
                <w:b/>
                <w:bCs/>
                <w:szCs w:val="21"/>
              </w:rPr>
              <w:t>B</w:t>
            </w:r>
            <w:r>
              <w:rPr>
                <w:rFonts w:ascii="仿宋" w:eastAsia="仿宋" w:hAnsi="仿宋" w:hint="eastAsia"/>
                <w:b/>
                <w:bCs/>
                <w:szCs w:val="21"/>
              </w:rPr>
              <w:t>”</w:t>
            </w:r>
          </w:p>
        </w:tc>
      </w:tr>
      <w:tr w:rsidR="007529F2">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B47353">
            <w:pPr>
              <w:adjustRightInd w:val="0"/>
              <w:snapToGrid w:val="0"/>
              <w:spacing w:line="300" w:lineRule="exact"/>
              <w:jc w:val="center"/>
              <w:rPr>
                <w:rFonts w:ascii="仿宋" w:eastAsia="仿宋" w:hAnsi="仿宋"/>
                <w:bCs/>
                <w:szCs w:val="21"/>
              </w:rPr>
            </w:pPr>
            <w:r w:rsidRPr="00B47353">
              <w:rPr>
                <w:rFonts w:ascii="仿宋" w:eastAsia="仿宋" w:hAnsi="仿宋"/>
                <w:bCs/>
                <w:szCs w:val="21"/>
              </w:rPr>
              <w:t>23111061</w:t>
            </w:r>
          </w:p>
        </w:tc>
      </w:tr>
      <w:tr w:rsidR="007529F2">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rsidP="00567419">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B47353" w:rsidRPr="00B47353">
              <w:rPr>
                <w:rFonts w:ascii="仿宋" w:eastAsia="仿宋" w:hAnsi="仿宋"/>
                <w:bCs/>
                <w:szCs w:val="21"/>
              </w:rPr>
              <w:t>23111061</w:t>
            </w:r>
            <w:r>
              <w:rPr>
                <w:rFonts w:ascii="仿宋" w:eastAsia="仿宋" w:hAnsi="仿宋" w:hint="eastAsia"/>
                <w:bCs/>
                <w:szCs w:val="21"/>
              </w:rPr>
              <w:t>A</w:t>
            </w:r>
          </w:p>
          <w:p w:rsidR="00583E9D" w:rsidRDefault="00583E9D" w:rsidP="00583E9D">
            <w:pPr>
              <w:adjustRightInd w:val="0"/>
              <w:snapToGrid w:val="0"/>
              <w:spacing w:line="300" w:lineRule="exact"/>
              <w:jc w:val="center"/>
              <w:rPr>
                <w:rFonts w:ascii="仿宋" w:eastAsia="仿宋" w:hAnsi="仿宋"/>
                <w:bCs/>
                <w:szCs w:val="21"/>
              </w:rPr>
            </w:pPr>
            <w:r>
              <w:rPr>
                <w:rFonts w:ascii="仿宋" w:eastAsia="仿宋" w:hAnsi="仿宋"/>
                <w:bCs/>
                <w:szCs w:val="21"/>
              </w:rPr>
              <w:t>B</w:t>
            </w:r>
            <w:r>
              <w:rPr>
                <w:rFonts w:ascii="仿宋" w:eastAsia="仿宋" w:hAnsi="仿宋" w:hint="eastAsia"/>
                <w:bCs/>
                <w:szCs w:val="21"/>
              </w:rPr>
              <w:t>份额代码：</w:t>
            </w:r>
            <w:r w:rsidR="00B47353" w:rsidRPr="00B47353">
              <w:rPr>
                <w:rFonts w:ascii="仿宋" w:eastAsia="仿宋" w:hAnsi="仿宋"/>
                <w:bCs/>
                <w:szCs w:val="21"/>
              </w:rPr>
              <w:t>23111061</w:t>
            </w:r>
            <w:r>
              <w:rPr>
                <w:rFonts w:ascii="仿宋" w:eastAsia="仿宋" w:hAnsi="仿宋"/>
                <w:bCs/>
                <w:szCs w:val="21"/>
              </w:rPr>
              <w:t>B</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B47353">
            <w:pPr>
              <w:keepNext/>
              <w:adjustRightInd w:val="0"/>
              <w:snapToGrid w:val="0"/>
              <w:spacing w:line="300" w:lineRule="exact"/>
              <w:jc w:val="center"/>
              <w:rPr>
                <w:rFonts w:ascii="仿宋" w:eastAsia="仿宋" w:hAnsi="仿宋"/>
                <w:bCs/>
                <w:szCs w:val="21"/>
              </w:rPr>
            </w:pPr>
            <w:r w:rsidRPr="00B47353">
              <w:rPr>
                <w:rFonts w:ascii="仿宋" w:eastAsia="仿宋" w:hAnsi="仿宋"/>
                <w:bCs/>
                <w:szCs w:val="21"/>
              </w:rPr>
              <w:t>Z7003923000162</w:t>
            </w:r>
          </w:p>
          <w:p w:rsidR="007529F2" w:rsidRDefault="0070639F">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华夏理财</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PR1级（低风险）</w:t>
            </w:r>
            <w:r>
              <w:rPr>
                <w:rFonts w:ascii="仿宋" w:eastAsia="仿宋" w:hAnsi="仿宋"/>
                <w:bCs/>
                <w:szCs w:val="21"/>
                <w:u w:val="single"/>
              </w:rPr>
              <w:t xml:space="preserve"> </w:t>
            </w:r>
            <w:r>
              <w:rPr>
                <w:rFonts w:ascii="仿宋" w:eastAsia="仿宋" w:hAnsi="仿宋"/>
                <w:bCs/>
                <w:szCs w:val="21"/>
              </w:rPr>
              <w:t>理财产品。</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2" w:name="_Hlk76302700"/>
            <w:r>
              <w:rPr>
                <w:rFonts w:ascii="仿宋" w:eastAsia="仿宋" w:hAnsi="仿宋" w:hint="eastAsia"/>
                <w:bCs/>
                <w:szCs w:val="21"/>
              </w:rPr>
              <w:t>代销机构最终披露的评级结果</w:t>
            </w:r>
            <w:bookmarkEnd w:id="2"/>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rPr>
              <w:t>：</w:t>
            </w:r>
            <w:r>
              <w:rPr>
                <w:rFonts w:ascii="仿宋" w:eastAsia="仿宋" w:hAnsi="仿宋" w:hint="eastAsia"/>
                <w:bCs/>
                <w:szCs w:val="21"/>
                <w:u w:val="single"/>
              </w:rPr>
              <w:t>CR1（谨慎型）、CR2（稳健型）、CR3（平衡型）、CR4（进取型）、CR5（激进型）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E227E6" w:rsidRPr="00E227E6" w:rsidRDefault="0070639F" w:rsidP="00E227E6">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w:t>
            </w:r>
            <w:r w:rsidR="004530CC" w:rsidRPr="004530CC">
              <w:rPr>
                <w:rFonts w:ascii="仿宋" w:eastAsia="仿宋" w:hAnsi="仿宋" w:cs="Cambria"/>
                <w:bCs/>
                <w:szCs w:val="21"/>
              </w:rPr>
              <w:t>2.80%-2.90%</w:t>
            </w:r>
            <w:r>
              <w:rPr>
                <w:rFonts w:ascii="仿宋" w:eastAsia="仿宋" w:hAnsi="仿宋" w:cs="Cambria" w:hint="eastAsia"/>
                <w:bCs/>
                <w:szCs w:val="21"/>
              </w:rPr>
              <w:t>（年化）</w:t>
            </w:r>
            <w:r w:rsidR="00583E9D">
              <w:rPr>
                <w:rFonts w:ascii="仿宋" w:eastAsia="仿宋" w:hAnsi="仿宋" w:cs="Cambria" w:hint="eastAsia"/>
                <w:bCs/>
                <w:szCs w:val="21"/>
              </w:rPr>
              <w:t>；</w:t>
            </w:r>
            <w:r w:rsidR="00583E9D">
              <w:rPr>
                <w:rFonts w:ascii="仿宋" w:eastAsia="仿宋" w:hAnsi="仿宋" w:cs="Cambria"/>
                <w:bCs/>
                <w:szCs w:val="21"/>
              </w:rPr>
              <w:t>B</w:t>
            </w:r>
            <w:r w:rsidR="00583E9D">
              <w:rPr>
                <w:rFonts w:ascii="仿宋" w:eastAsia="仿宋" w:hAnsi="仿宋" w:cs="Cambria" w:hint="eastAsia"/>
                <w:bCs/>
                <w:szCs w:val="21"/>
              </w:rPr>
              <w:t>份额：业绩</w:t>
            </w:r>
            <w:r w:rsidR="00583E9D">
              <w:rPr>
                <w:rFonts w:ascii="仿宋" w:eastAsia="仿宋" w:hAnsi="仿宋" w:hint="eastAsia"/>
                <w:bCs/>
                <w:szCs w:val="21"/>
              </w:rPr>
              <w:t>比较</w:t>
            </w:r>
            <w:r w:rsidR="00583E9D">
              <w:rPr>
                <w:rFonts w:ascii="仿宋" w:eastAsia="仿宋" w:hAnsi="仿宋" w:cs="Cambria" w:hint="eastAsia"/>
                <w:bCs/>
                <w:szCs w:val="21"/>
              </w:rPr>
              <w:t>基准为</w:t>
            </w:r>
            <w:r w:rsidR="00583E9D" w:rsidRPr="004530CC">
              <w:rPr>
                <w:rFonts w:ascii="仿宋" w:eastAsia="仿宋" w:hAnsi="仿宋" w:cs="Cambria"/>
                <w:bCs/>
                <w:szCs w:val="21"/>
              </w:rPr>
              <w:t>2.</w:t>
            </w:r>
            <w:r w:rsidR="00583E9D">
              <w:rPr>
                <w:rFonts w:ascii="仿宋" w:eastAsia="仿宋" w:hAnsi="仿宋" w:cs="Cambria"/>
                <w:bCs/>
                <w:szCs w:val="21"/>
              </w:rPr>
              <w:t>75</w:t>
            </w:r>
            <w:r w:rsidR="00583E9D" w:rsidRPr="004530CC">
              <w:rPr>
                <w:rFonts w:ascii="仿宋" w:eastAsia="仿宋" w:hAnsi="仿宋" w:cs="Cambria"/>
                <w:bCs/>
                <w:szCs w:val="21"/>
              </w:rPr>
              <w:t>%-2.</w:t>
            </w:r>
            <w:r w:rsidR="00583E9D">
              <w:rPr>
                <w:rFonts w:ascii="仿宋" w:eastAsia="仿宋" w:hAnsi="仿宋" w:cs="Cambria"/>
                <w:bCs/>
                <w:szCs w:val="21"/>
              </w:rPr>
              <w:t>85</w:t>
            </w:r>
            <w:r w:rsidR="00583E9D" w:rsidRPr="004530CC">
              <w:rPr>
                <w:rFonts w:ascii="仿宋" w:eastAsia="仿宋" w:hAnsi="仿宋" w:cs="Cambria"/>
                <w:bCs/>
                <w:szCs w:val="21"/>
              </w:rPr>
              <w:t>%</w:t>
            </w:r>
            <w:r w:rsidR="00583E9D">
              <w:rPr>
                <w:rFonts w:ascii="仿宋" w:eastAsia="仿宋" w:hAnsi="仿宋" w:cs="Cambria" w:hint="eastAsia"/>
                <w:bCs/>
                <w:szCs w:val="21"/>
              </w:rPr>
              <w:t>（年化）</w:t>
            </w:r>
            <w:r>
              <w:rPr>
                <w:rFonts w:ascii="仿宋" w:eastAsia="仿宋" w:hAnsi="仿宋" w:cs="Cambria" w:hint="eastAsia"/>
                <w:bCs/>
                <w:szCs w:val="21"/>
              </w:rPr>
              <w:t>。</w:t>
            </w:r>
            <w:r w:rsidR="00E227E6" w:rsidRPr="00E227E6">
              <w:rPr>
                <w:rFonts w:ascii="仿宋" w:eastAsia="仿宋" w:hAnsi="仿宋" w:cs="Cambria" w:hint="eastAsia"/>
                <w:bCs/>
                <w:szCs w:val="21"/>
              </w:rPr>
              <w:t>以产品投资存款类资产</w:t>
            </w:r>
            <w:proofErr w:type="gramStart"/>
            <w:r w:rsidR="00E227E6" w:rsidRPr="00E227E6">
              <w:rPr>
                <w:rFonts w:ascii="仿宋" w:eastAsia="仿宋" w:hAnsi="仿宋" w:cs="Cambria" w:hint="eastAsia"/>
                <w:bCs/>
                <w:szCs w:val="21"/>
              </w:rPr>
              <w:t>仓位</w:t>
            </w:r>
            <w:proofErr w:type="gramEnd"/>
            <w:r w:rsidR="00E227E6" w:rsidRPr="00E227E6">
              <w:rPr>
                <w:rFonts w:ascii="仿宋" w:eastAsia="仿宋" w:hAnsi="仿宋" w:cs="Cambria" w:hint="eastAsia"/>
                <w:bCs/>
                <w:szCs w:val="21"/>
              </w:rPr>
              <w:t>100%为例，参考当前存款类资产收益水平，结合产品投资策略并扣除各项费用后，综合测算得出上述业绩比较基准。测算示例仅供参考，具体资产投资比例可根据各类资产的收益水平、流动性特征、信用风险等因素动态调整。</w:t>
            </w:r>
          </w:p>
          <w:p w:rsidR="007529F2" w:rsidRDefault="00E227E6">
            <w:pPr>
              <w:adjustRightInd w:val="0"/>
              <w:snapToGrid w:val="0"/>
              <w:spacing w:line="240" w:lineRule="atLeast"/>
              <w:ind w:firstLineChars="200" w:firstLine="420"/>
              <w:rPr>
                <w:rFonts w:ascii="仿宋" w:eastAsia="仿宋" w:hAnsi="仿宋" w:cs="Cambria"/>
                <w:bCs/>
                <w:szCs w:val="21"/>
              </w:rPr>
            </w:pPr>
            <w:r w:rsidRPr="00E227E6">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7529F2" w:rsidRDefault="0070639F">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7529F2" w:rsidRDefault="0070639F">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7529F2" w:rsidRDefault="0070639F">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bookmarkStart w:id="3" w:name="OLE_LINK2" w:colFirst="1" w:colLast="1"/>
            <w:bookmarkStart w:id="4" w:name="OLE_LINK3" w:colFirst="1" w:colLast="1"/>
            <w:bookmarkStart w:id="5"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B47353">
            <w:pPr>
              <w:adjustRightInd w:val="0"/>
              <w:snapToGrid w:val="0"/>
              <w:spacing w:line="300" w:lineRule="exact"/>
              <w:ind w:firstLineChars="200" w:firstLine="420"/>
              <w:rPr>
                <w:rFonts w:ascii="仿宋" w:eastAsia="仿宋" w:hAnsi="仿宋"/>
                <w:bCs/>
                <w:szCs w:val="21"/>
              </w:rPr>
            </w:pPr>
            <w:r w:rsidRPr="00B47353">
              <w:rPr>
                <w:rFonts w:ascii="仿宋" w:eastAsia="仿宋" w:hAnsi="仿宋" w:hint="eastAsia"/>
                <w:bCs/>
                <w:szCs w:val="21"/>
              </w:rPr>
              <w:t>2023年4月25日</w:t>
            </w:r>
            <w:r w:rsidR="0070639F">
              <w:rPr>
                <w:rFonts w:ascii="仿宋" w:eastAsia="仿宋" w:hAnsi="仿宋"/>
                <w:bCs/>
                <w:szCs w:val="21"/>
              </w:rPr>
              <w:t>－</w:t>
            </w:r>
            <w:r w:rsidRPr="00B47353">
              <w:rPr>
                <w:rFonts w:ascii="仿宋" w:eastAsia="仿宋" w:hAnsi="仿宋" w:hint="eastAsia"/>
                <w:bCs/>
                <w:szCs w:val="21"/>
              </w:rPr>
              <w:t>2023年5月4日</w:t>
            </w:r>
            <w:r w:rsidR="0070639F">
              <w:rPr>
                <w:rFonts w:ascii="仿宋" w:eastAsia="仿宋" w:hAnsi="仿宋"/>
                <w:bCs/>
                <w:szCs w:val="21"/>
              </w:rPr>
              <w:t>（含）</w:t>
            </w:r>
            <w:r w:rsidR="0070639F">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70639F">
              <w:rPr>
                <w:rFonts w:ascii="仿宋" w:eastAsia="仿宋" w:hAnsi="仿宋"/>
                <w:bCs/>
                <w:szCs w:val="21"/>
              </w:rPr>
              <w:t>）</w:t>
            </w:r>
          </w:p>
        </w:tc>
      </w:tr>
      <w:bookmarkEnd w:id="3"/>
      <w:bookmarkEnd w:id="4"/>
      <w:bookmarkEnd w:id="5"/>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B47353">
            <w:pPr>
              <w:adjustRightInd w:val="0"/>
              <w:snapToGrid w:val="0"/>
              <w:spacing w:line="300" w:lineRule="exact"/>
              <w:ind w:firstLineChars="200" w:firstLine="420"/>
              <w:rPr>
                <w:rFonts w:ascii="仿宋" w:eastAsia="仿宋" w:hAnsi="仿宋"/>
                <w:bCs/>
                <w:szCs w:val="21"/>
              </w:rPr>
            </w:pPr>
            <w:r w:rsidRPr="00B47353">
              <w:rPr>
                <w:rFonts w:ascii="仿宋" w:eastAsia="仿宋" w:hAnsi="仿宋" w:hint="eastAsia"/>
                <w:bCs/>
                <w:szCs w:val="21"/>
              </w:rPr>
              <w:t>2023年5月5日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B47353">
            <w:pPr>
              <w:adjustRightInd w:val="0"/>
              <w:snapToGrid w:val="0"/>
              <w:spacing w:line="300" w:lineRule="exact"/>
              <w:ind w:firstLineChars="200" w:firstLine="420"/>
              <w:rPr>
                <w:rFonts w:ascii="仿宋" w:eastAsia="仿宋" w:hAnsi="仿宋"/>
                <w:bCs/>
                <w:szCs w:val="21"/>
              </w:rPr>
            </w:pPr>
            <w:r w:rsidRPr="00B47353">
              <w:rPr>
                <w:rFonts w:ascii="仿宋" w:eastAsia="仿宋" w:hAnsi="仿宋"/>
                <w:bCs/>
                <w:szCs w:val="21"/>
              </w:rPr>
              <w:t>95</w:t>
            </w:r>
            <w:r w:rsidR="0070639F">
              <w:rPr>
                <w:rFonts w:ascii="仿宋" w:eastAsia="仿宋" w:hAnsi="仿宋" w:hint="eastAsia"/>
                <w:bCs/>
                <w:szCs w:val="21"/>
              </w:rPr>
              <w:t>天</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B47353">
            <w:pPr>
              <w:adjustRightInd w:val="0"/>
              <w:snapToGrid w:val="0"/>
              <w:spacing w:line="300" w:lineRule="exact"/>
              <w:ind w:firstLineChars="200" w:firstLine="420"/>
              <w:rPr>
                <w:rFonts w:ascii="仿宋" w:eastAsia="仿宋" w:hAnsi="仿宋"/>
                <w:bCs/>
                <w:szCs w:val="21"/>
              </w:rPr>
            </w:pPr>
            <w:r w:rsidRPr="00B47353">
              <w:rPr>
                <w:rFonts w:ascii="仿宋" w:eastAsia="仿宋" w:hAnsi="仿宋" w:hint="eastAsia"/>
                <w:bCs/>
                <w:szCs w:val="21"/>
              </w:rPr>
              <w:t>2023年8月8日</w:t>
            </w:r>
            <w:r w:rsidR="0070639F">
              <w:rPr>
                <w:rFonts w:ascii="仿宋" w:eastAsia="仿宋" w:hAnsi="仿宋" w:hint="eastAsia"/>
                <w:bCs/>
                <w:szCs w:val="21"/>
              </w:rPr>
              <w:t>理财产品正常到期，到期日如为非工作日，则顺延至下一工作日。如理财产品因故提前或延迟到期的，则终止日以华夏理财发布的公告</w:t>
            </w:r>
            <w:r w:rsidR="0070639F">
              <w:rPr>
                <w:rFonts w:ascii="仿宋" w:eastAsia="仿宋" w:hAnsi="仿宋" w:hint="eastAsia"/>
                <w:bCs/>
                <w:szCs w:val="21"/>
              </w:rPr>
              <w:lastRenderedPageBreak/>
              <w:t>为准。</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7529F2" w:rsidRDefault="0070639F">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B47353" w:rsidRPr="00B47353">
              <w:rPr>
                <w:rFonts w:ascii="仿宋" w:eastAsia="仿宋" w:hAnsi="仿宋" w:hint="eastAsia"/>
                <w:bCs/>
                <w:szCs w:val="21"/>
              </w:rPr>
              <w:t>5亿</w:t>
            </w:r>
            <w:r>
              <w:rPr>
                <w:rFonts w:ascii="仿宋" w:eastAsia="仿宋" w:hAnsi="仿宋" w:hint="eastAsia"/>
                <w:bCs/>
                <w:szCs w:val="21"/>
              </w:rPr>
              <w:t>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7529F2">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rsidP="00567419">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583E9D" w:rsidRDefault="00583E9D" w:rsidP="00567419">
            <w:pPr>
              <w:adjustRightInd w:val="0"/>
              <w:snapToGrid w:val="0"/>
              <w:spacing w:line="240" w:lineRule="atLeast"/>
              <w:ind w:firstLineChars="200" w:firstLine="420"/>
              <w:rPr>
                <w:rFonts w:ascii="仿宋" w:eastAsia="仿宋" w:hAnsi="仿宋"/>
                <w:bCs/>
                <w:szCs w:val="21"/>
              </w:rPr>
            </w:pPr>
            <w:r>
              <w:rPr>
                <w:rFonts w:ascii="仿宋" w:eastAsia="仿宋" w:hAnsi="仿宋" w:cs="Cambria"/>
                <w:bCs/>
                <w:szCs w:val="21"/>
              </w:rPr>
              <w:t>B</w:t>
            </w:r>
            <w:r>
              <w:rPr>
                <w:rFonts w:ascii="仿宋" w:eastAsia="仿宋" w:hAnsi="仿宋" w:cs="Cambria" w:hint="eastAsia"/>
                <w:bCs/>
                <w:szCs w:val="21"/>
              </w:rPr>
              <w:t>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7529F2" w:rsidRDefault="0070639F">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7529F2">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7529F2" w:rsidRDefault="0070639F">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7529F2" w:rsidRDefault="0070639F">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（2</w:t>
            </w:r>
            <w:r>
              <w:rPr>
                <w:rFonts w:ascii="仿宋" w:eastAsia="仿宋" w:hAnsi="仿宋" w:hint="eastAsia"/>
                <w:bCs/>
                <w:szCs w:val="21"/>
              </w:rPr>
              <w:t>）通过华夏银行认购的，投资者撤销的本金实时到账。</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7529F2">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7529F2">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rPr>
                <w:rFonts w:ascii="仿宋" w:eastAsia="仿宋" w:hAnsi="仿宋"/>
                <w:b/>
                <w:bCs/>
                <w:szCs w:val="21"/>
              </w:rPr>
            </w:pPr>
            <w:r>
              <w:rPr>
                <w:rFonts w:ascii="仿宋" w:eastAsia="仿宋" w:hAnsi="仿宋" w:hint="eastAsia"/>
                <w:b/>
                <w:bCs/>
                <w:szCs w:val="21"/>
              </w:rPr>
              <w:t>本理财产品不收取认购费。</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jc w:val="center"/>
              <w:rPr>
                <w:rFonts w:ascii="仿宋" w:eastAsia="仿宋" w:hAnsi="仿宋"/>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D069E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0.03%/年，以前一日资产净值为基数，每日计提。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240" w:lineRule="auto"/>
              <w:ind w:firstLine="420"/>
              <w:jc w:val="left"/>
              <w:rPr>
                <w:rFonts w:ascii="仿宋" w:eastAsia="仿宋" w:hAnsi="仿宋"/>
                <w:b/>
                <w:bCs/>
                <w:szCs w:val="21"/>
              </w:rPr>
            </w:pPr>
            <w:r>
              <w:rPr>
                <w:rFonts w:ascii="仿宋" w:eastAsia="仿宋" w:hAnsi="仿宋" w:hint="eastAsia"/>
                <w:b/>
                <w:bCs/>
                <w:szCs w:val="21"/>
              </w:rPr>
              <w:t>F=E×【0.03%】</w:t>
            </w:r>
            <w:r>
              <w:rPr>
                <w:rFonts w:ascii="仿宋" w:eastAsia="仿宋" w:hAnsi="仿宋" w:hint="eastAsia"/>
                <w:b/>
                <w:szCs w:val="21"/>
              </w:rPr>
              <w:t>/当年天数。</w:t>
            </w:r>
            <w:r>
              <w:rPr>
                <w:rFonts w:ascii="仿宋" w:eastAsia="仿宋" w:hAnsi="仿宋" w:hint="eastAsia"/>
                <w:b/>
                <w:bCs/>
                <w:szCs w:val="21"/>
              </w:rPr>
              <w:t>F为托管费；E为计算</w:t>
            </w:r>
            <w:r>
              <w:rPr>
                <w:rFonts w:ascii="仿宋" w:eastAsia="仿宋" w:hAnsi="仿宋"/>
                <w:b/>
                <w:bCs/>
                <w:szCs w:val="21"/>
              </w:rPr>
              <w:t>基数</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rsidP="007A7DDD">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A份额：销售手续费率为</w:t>
            </w:r>
            <w:r w:rsidR="004530CC" w:rsidRPr="004530CC">
              <w:rPr>
                <w:rFonts w:ascii="仿宋" w:eastAsia="仿宋" w:hAnsi="仿宋"/>
                <w:b/>
                <w:bCs/>
                <w:szCs w:val="21"/>
              </w:rPr>
              <w:t>0.05%</w:t>
            </w:r>
            <w:r>
              <w:rPr>
                <w:rFonts w:ascii="仿宋" w:eastAsia="仿宋" w:hAnsi="仿宋" w:hint="eastAsia"/>
                <w:b/>
                <w:bCs/>
                <w:szCs w:val="21"/>
              </w:rPr>
              <w:t>/年，以前一日资产净值为基数，每日计提。</w:t>
            </w:r>
          </w:p>
          <w:p w:rsidR="00583E9D" w:rsidRDefault="00583E9D" w:rsidP="007A7DDD">
            <w:pPr>
              <w:adjustRightInd w:val="0"/>
              <w:snapToGrid w:val="0"/>
              <w:spacing w:line="240" w:lineRule="atLeast"/>
              <w:ind w:firstLine="420"/>
              <w:jc w:val="left"/>
              <w:rPr>
                <w:rFonts w:ascii="仿宋" w:eastAsia="仿宋" w:hAnsi="仿宋"/>
                <w:b/>
                <w:bCs/>
                <w:szCs w:val="21"/>
              </w:rPr>
            </w:pPr>
            <w:r>
              <w:rPr>
                <w:rFonts w:ascii="仿宋" w:eastAsia="仿宋" w:hAnsi="仿宋"/>
                <w:b/>
                <w:bCs/>
                <w:szCs w:val="21"/>
              </w:rPr>
              <w:t>B</w:t>
            </w:r>
            <w:r>
              <w:rPr>
                <w:rFonts w:ascii="仿宋" w:eastAsia="仿宋" w:hAnsi="仿宋" w:hint="eastAsia"/>
                <w:b/>
                <w:bCs/>
                <w:szCs w:val="21"/>
              </w:rPr>
              <w:t>份额：销售手续费率为</w:t>
            </w:r>
            <w:r w:rsidRPr="004530CC">
              <w:rPr>
                <w:rFonts w:ascii="仿宋" w:eastAsia="仿宋" w:hAnsi="仿宋"/>
                <w:b/>
                <w:bCs/>
                <w:szCs w:val="21"/>
              </w:rPr>
              <w:t>0.</w:t>
            </w:r>
            <w:r>
              <w:rPr>
                <w:rFonts w:ascii="仿宋" w:eastAsia="仿宋" w:hAnsi="仿宋"/>
                <w:b/>
                <w:bCs/>
                <w:szCs w:val="21"/>
              </w:rPr>
              <w:t>10</w:t>
            </w:r>
            <w:r w:rsidRPr="004530CC">
              <w:rPr>
                <w:rFonts w:ascii="仿宋" w:eastAsia="仿宋" w:hAnsi="仿宋"/>
                <w:b/>
                <w:bCs/>
                <w:szCs w:val="21"/>
              </w:rPr>
              <w:t>%</w:t>
            </w:r>
            <w:r>
              <w:rPr>
                <w:rFonts w:ascii="仿宋" w:eastAsia="仿宋" w:hAnsi="仿宋" w:hint="eastAsia"/>
                <w:b/>
                <w:bCs/>
                <w:szCs w:val="21"/>
              </w:rPr>
              <w:t>/年，以前一日资产净值为基数，每日计提。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F=E×【各份额销售手续费率】/当年天数。F为各份额销售手续费；E为计算基数。</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（销售手续费由销售服务机构收取。）</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4530CC">
            <w:pPr>
              <w:adjustRightInd w:val="0"/>
              <w:snapToGrid w:val="0"/>
              <w:spacing w:line="240" w:lineRule="atLeast"/>
              <w:ind w:firstLine="420"/>
              <w:jc w:val="left"/>
              <w:rPr>
                <w:rFonts w:ascii="仿宋" w:eastAsia="仿宋" w:hAnsi="仿宋"/>
                <w:b/>
                <w:bCs/>
                <w:szCs w:val="21"/>
              </w:rPr>
            </w:pPr>
            <w:r w:rsidRPr="004530CC">
              <w:rPr>
                <w:rFonts w:ascii="仿宋" w:eastAsia="仿宋" w:hAnsi="仿宋"/>
                <w:b/>
                <w:bCs/>
                <w:szCs w:val="21"/>
              </w:rPr>
              <w:t>0.05%</w:t>
            </w:r>
            <w:r w:rsidR="0070639F">
              <w:rPr>
                <w:rFonts w:ascii="仿宋" w:eastAsia="仿宋" w:hAnsi="仿宋" w:hint="eastAsia"/>
                <w:b/>
                <w:bCs/>
                <w:szCs w:val="21"/>
              </w:rPr>
              <w:t>/年，以前一日资产净值为基数，每日计提。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300" w:lineRule="exact"/>
              <w:ind w:firstLine="420"/>
              <w:rPr>
                <w:rFonts w:ascii="仿宋" w:eastAsia="仿宋" w:hAnsi="仿宋"/>
                <w:b/>
                <w:bCs/>
                <w:szCs w:val="21"/>
              </w:rPr>
            </w:pPr>
            <w:r>
              <w:rPr>
                <w:rFonts w:ascii="仿宋" w:eastAsia="仿宋" w:hAnsi="仿宋" w:hint="eastAsia"/>
                <w:b/>
                <w:bCs/>
                <w:szCs w:val="21"/>
              </w:rPr>
              <w:t>F=E×【</w:t>
            </w:r>
            <w:r w:rsidR="004530CC" w:rsidRPr="004530CC">
              <w:rPr>
                <w:rFonts w:ascii="仿宋" w:eastAsia="仿宋" w:hAnsi="仿宋"/>
                <w:b/>
                <w:bCs/>
                <w:szCs w:val="21"/>
              </w:rPr>
              <w:t>0.05%</w:t>
            </w:r>
            <w:r>
              <w:rPr>
                <w:rFonts w:ascii="仿宋" w:eastAsia="仿宋" w:hAnsi="仿宋" w:hint="eastAsia"/>
                <w:b/>
                <w:bCs/>
                <w:szCs w:val="21"/>
              </w:rPr>
              <w:t>】</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w:t>
            </w:r>
            <w:r>
              <w:rPr>
                <w:rFonts w:ascii="仿宋" w:eastAsia="仿宋" w:hAnsi="仿宋" w:hint="eastAsia"/>
                <w:b/>
                <w:bCs/>
                <w:szCs w:val="21"/>
              </w:rPr>
              <w:t>F为固定管理费；E为计算</w:t>
            </w:r>
            <w:r>
              <w:rPr>
                <w:rFonts w:ascii="仿宋" w:eastAsia="仿宋" w:hAnsi="仿宋"/>
                <w:b/>
                <w:bCs/>
                <w:szCs w:val="21"/>
              </w:rPr>
              <w:t>基数</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本产品扣除各项费用（包括销售手续费、托管费、固定管理费及其他费用等）后，</w:t>
            </w: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低于或等于超额管理费计提基准，则管理人不收取超额管理费；超过超额管理费计提基准的部分，50%归投资人所有，其余作为管理人的超额管理费。</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A份额超额管理费计提基准为</w:t>
            </w:r>
            <w:r w:rsidR="004530CC" w:rsidRPr="004530CC">
              <w:rPr>
                <w:rFonts w:ascii="仿宋" w:eastAsia="仿宋" w:hAnsi="仿宋" w:cs="Cambria"/>
                <w:b/>
                <w:bCs/>
                <w:szCs w:val="21"/>
              </w:rPr>
              <w:t>2.90%</w:t>
            </w:r>
            <w:r>
              <w:rPr>
                <w:rFonts w:ascii="仿宋" w:eastAsia="仿宋" w:hAnsi="仿宋" w:cs="Cambria" w:hint="eastAsia"/>
                <w:b/>
                <w:bCs/>
                <w:szCs w:val="21"/>
              </w:rPr>
              <w:t>（年化）</w:t>
            </w:r>
            <w:r w:rsidR="00583E9D">
              <w:rPr>
                <w:rFonts w:ascii="仿宋" w:eastAsia="仿宋" w:hAnsi="仿宋" w:cs="Cambria" w:hint="eastAsia"/>
                <w:b/>
                <w:bCs/>
                <w:szCs w:val="21"/>
              </w:rPr>
              <w:t>；</w:t>
            </w:r>
            <w:r w:rsidR="00583E9D">
              <w:rPr>
                <w:rFonts w:ascii="仿宋" w:eastAsia="仿宋" w:hAnsi="仿宋" w:cs="Cambria"/>
                <w:b/>
                <w:bCs/>
                <w:szCs w:val="21"/>
              </w:rPr>
              <w:t>B</w:t>
            </w:r>
            <w:r w:rsidR="00583E9D">
              <w:rPr>
                <w:rFonts w:ascii="仿宋" w:eastAsia="仿宋" w:hAnsi="仿宋" w:cs="Cambria" w:hint="eastAsia"/>
                <w:b/>
                <w:bCs/>
                <w:szCs w:val="21"/>
              </w:rPr>
              <w:t>份额超额管理费计提基准为</w:t>
            </w:r>
            <w:r w:rsidR="00583E9D" w:rsidRPr="004530CC">
              <w:rPr>
                <w:rFonts w:ascii="仿宋" w:eastAsia="仿宋" w:hAnsi="仿宋" w:cs="Cambria"/>
                <w:b/>
                <w:bCs/>
                <w:szCs w:val="21"/>
              </w:rPr>
              <w:t>2.</w:t>
            </w:r>
            <w:r w:rsidR="00583E9D">
              <w:rPr>
                <w:rFonts w:ascii="仿宋" w:eastAsia="仿宋" w:hAnsi="仿宋" w:cs="Cambria"/>
                <w:b/>
                <w:bCs/>
                <w:szCs w:val="21"/>
              </w:rPr>
              <w:t>85</w:t>
            </w:r>
            <w:r w:rsidR="00583E9D" w:rsidRPr="004530CC">
              <w:rPr>
                <w:rFonts w:ascii="仿宋" w:eastAsia="仿宋" w:hAnsi="仿宋" w:cs="Cambria"/>
                <w:b/>
                <w:bCs/>
                <w:szCs w:val="21"/>
              </w:rPr>
              <w:t>%</w:t>
            </w:r>
            <w:r w:rsidR="00583E9D">
              <w:rPr>
                <w:rFonts w:ascii="仿宋" w:eastAsia="仿宋" w:hAnsi="仿宋" w:cs="Cambria" w:hint="eastAsia"/>
                <w:b/>
                <w:bCs/>
                <w:szCs w:val="21"/>
              </w:rPr>
              <w:t>（年化）</w:t>
            </w:r>
            <w:r>
              <w:rPr>
                <w:rFonts w:ascii="仿宋" w:eastAsia="仿宋" w:hAnsi="仿宋" w:cs="Cambria" w:hint="eastAsia"/>
                <w:b/>
                <w:bCs/>
                <w:szCs w:val="21"/>
              </w:rPr>
              <w:t>。</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本产品超额管理费的计算公式：</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超额管理费=（</w:t>
            </w: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-超额管理费计提基准）×当期持有天数÷365×50%×产品份额×1.0000</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其中：</w:t>
            </w:r>
          </w:p>
          <w:p w:rsidR="007529F2" w:rsidRDefault="0070639F">
            <w:pPr>
              <w:adjustRightInd w:val="0"/>
              <w:snapToGrid w:val="0"/>
              <w:spacing w:line="300" w:lineRule="exact"/>
              <w:ind w:firstLine="420"/>
              <w:rPr>
                <w:rFonts w:ascii="仿宋" w:eastAsia="仿宋" w:hAnsi="仿宋" w:cs="Cambria"/>
                <w:b/>
                <w:bCs/>
                <w:szCs w:val="21"/>
              </w:rPr>
            </w:pP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=（计提日累计单位净值-1.0000）÷1.0000×365÷当期持有天数。</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“产品份额”为产品份额，若有红利再投时，将剔除红利再投产生份额的影响。</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投资周期内每个估值日计提超额管理费，仅</w:t>
            </w:r>
            <w:proofErr w:type="gramStart"/>
            <w:r>
              <w:rPr>
                <w:rFonts w:ascii="仿宋" w:eastAsia="仿宋" w:hAnsi="仿宋" w:cs="Cambria" w:hint="eastAsia"/>
                <w:b/>
                <w:bCs/>
                <w:szCs w:val="21"/>
              </w:rPr>
              <w:t>作为暂估数据</w:t>
            </w:r>
            <w:proofErr w:type="gramEnd"/>
            <w:r>
              <w:rPr>
                <w:rFonts w:ascii="仿宋" w:eastAsia="仿宋" w:hAnsi="仿宋" w:cs="Cambria" w:hint="eastAsia"/>
                <w:b/>
                <w:bCs/>
                <w:szCs w:val="21"/>
              </w:rPr>
              <w:t>，用于本产品会计核算和估值日估值。仅到期/终止日为本产品超额管理费实际计提和收取日。</w:t>
            </w:r>
          </w:p>
          <w:p w:rsidR="007529F2" w:rsidRDefault="0070639F">
            <w:pPr>
              <w:adjustRightInd w:val="0"/>
              <w:snapToGrid w:val="0"/>
              <w:spacing w:line="300" w:lineRule="exact"/>
              <w:ind w:firstLine="420"/>
              <w:rPr>
                <w:rFonts w:ascii="仿宋" w:eastAsia="仿宋" w:hAnsi="仿宋"/>
                <w:b/>
                <w:bCs/>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jc w:val="left"/>
              <w:rPr>
                <w:rFonts w:ascii="仿宋" w:eastAsia="仿宋" w:hAnsi="仿宋"/>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7529F2" w:rsidRDefault="0070639F">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lastRenderedPageBreak/>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7529F2">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jc w:val="center"/>
              <w:rPr>
                <w:rFonts w:ascii="仿宋" w:eastAsia="仿宋" w:hAnsi="仿宋"/>
                <w:bCs/>
                <w:szCs w:val="21"/>
              </w:rP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7529F2" w:rsidRDefault="0070639F">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7529F2" w:rsidRDefault="0070639F">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7529F2" w:rsidRDefault="0070639F">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7529F2">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7529F2">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7529F2" w:rsidRDefault="0070639F">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7529F2" w:rsidRDefault="0070639F">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7529F2" w:rsidRDefault="0070639F">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7529F2" w:rsidRDefault="007529F2">
      <w:pPr>
        <w:pStyle w:val="Default"/>
        <w:snapToGrid w:val="0"/>
        <w:spacing w:afterLines="50" w:after="156" w:line="400" w:lineRule="exact"/>
        <w:ind w:firstLineChars="200" w:firstLine="482"/>
        <w:jc w:val="both"/>
        <w:rPr>
          <w:rFonts w:ascii="Times New Roman" w:eastAsia="黑体" w:cs="Times New Roman"/>
          <w:b/>
          <w:color w:val="auto"/>
        </w:rPr>
      </w:pPr>
    </w:p>
    <w:p w:rsidR="007529F2" w:rsidRDefault="0070639F" w:rsidP="00E227E6">
      <w:pPr>
        <w:pStyle w:val="Default"/>
        <w:keepNex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本理财产品将全部投资于境内市场固定收益类金融工具，包括货币市场工具类资产、标准化债权类资产及其他符合监管要求的固定收益类金融资产。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本理财产品计划100%投资于存款类、同业存单及债券逆回购等低波动类资产。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本产品可通过信托、证券、基金、期货、保险资产管理机构等依法设立的资产管理产品以及其他符合国家相关政策、法律法规的投资渠道和方式实现对上述投资品种的投资。</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其中货币市场工具类资产包括但不限于银行存款、大额存单、同业存单（CD）、短期融资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7529F2" w:rsidRDefault="0070639F">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0" w:type="auto"/>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62"/>
        <w:gridCol w:w="5138"/>
      </w:tblGrid>
      <w:tr w:rsidR="007529F2">
        <w:trPr>
          <w:trHeight w:val="447"/>
          <w:tblCellSpacing w:w="0" w:type="dxa"/>
        </w:trPr>
        <w:tc>
          <w:tcPr>
            <w:tcW w:w="2762" w:type="dxa"/>
            <w:vAlign w:val="center"/>
          </w:tcPr>
          <w:p w:rsidR="007529F2" w:rsidRDefault="0070639F">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7529F2" w:rsidRDefault="0070639F">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7529F2">
        <w:trPr>
          <w:trHeight w:val="447"/>
          <w:tblCellSpacing w:w="0" w:type="dxa"/>
        </w:trPr>
        <w:tc>
          <w:tcPr>
            <w:tcW w:w="2762" w:type="dxa"/>
            <w:vAlign w:val="center"/>
          </w:tcPr>
          <w:p w:rsidR="007529F2" w:rsidRDefault="0070639F">
            <w:pPr>
              <w:keepNext/>
              <w:adjustRightInd w:val="0"/>
              <w:snapToGrid w:val="0"/>
              <w:jc w:val="center"/>
              <w:rPr>
                <w:rFonts w:eastAsia="仿宋"/>
                <w:kern w:val="0"/>
                <w:sz w:val="24"/>
              </w:rPr>
            </w:pPr>
            <w:r>
              <w:rPr>
                <w:rFonts w:ascii="仿宋" w:eastAsia="仿宋" w:hAnsi="仿宋" w:cs="宋体" w:hint="eastAsia"/>
                <w:color w:val="000000"/>
                <w:kern w:val="0"/>
                <w:sz w:val="24"/>
              </w:rPr>
              <w:t>货币市场工具</w:t>
            </w:r>
          </w:p>
        </w:tc>
        <w:tc>
          <w:tcPr>
            <w:tcW w:w="5138" w:type="dxa"/>
            <w:vAlign w:val="center"/>
          </w:tcPr>
          <w:p w:rsidR="007529F2" w:rsidRDefault="0070639F">
            <w:pPr>
              <w:keepNext/>
              <w:adjustRightInd w:val="0"/>
              <w:snapToGrid w:val="0"/>
              <w:spacing w:line="400" w:lineRule="exact"/>
              <w:jc w:val="center"/>
              <w:rPr>
                <w:rFonts w:eastAsia="仿宋"/>
                <w:kern w:val="0"/>
                <w:sz w:val="24"/>
              </w:rPr>
            </w:pPr>
            <w:r>
              <w:rPr>
                <w:rFonts w:ascii="仿宋" w:eastAsia="仿宋" w:hAnsi="仿宋" w:cs="宋体" w:hint="eastAsia"/>
                <w:color w:val="000000"/>
                <w:kern w:val="0"/>
                <w:sz w:val="24"/>
              </w:rPr>
              <w:t>0%-100%</w:t>
            </w:r>
          </w:p>
        </w:tc>
      </w:tr>
      <w:tr w:rsidR="007529F2">
        <w:trPr>
          <w:trHeight w:val="447"/>
          <w:tblCellSpacing w:w="0" w:type="dxa"/>
        </w:trPr>
        <w:tc>
          <w:tcPr>
            <w:tcW w:w="2762" w:type="dxa"/>
            <w:vAlign w:val="center"/>
          </w:tcPr>
          <w:p w:rsidR="007529F2" w:rsidRDefault="0070639F">
            <w:pPr>
              <w:adjustRightInd w:val="0"/>
              <w:snapToGrid w:val="0"/>
              <w:jc w:val="center"/>
              <w:rPr>
                <w:rFonts w:ascii="仿宋" w:eastAsia="仿宋" w:hAnsi="仿宋" w:cs="宋体"/>
                <w:color w:val="000000"/>
                <w:kern w:val="0"/>
                <w:sz w:val="24"/>
              </w:rPr>
            </w:pPr>
            <w:r>
              <w:rPr>
                <w:rFonts w:ascii="仿宋" w:eastAsia="仿宋" w:hAnsi="仿宋" w:cs="宋体" w:hint="eastAsia"/>
                <w:color w:val="000000"/>
                <w:kern w:val="0"/>
                <w:sz w:val="24"/>
              </w:rPr>
              <w:t>标准化债权类</w:t>
            </w:r>
          </w:p>
        </w:tc>
        <w:tc>
          <w:tcPr>
            <w:tcW w:w="5138" w:type="dxa"/>
            <w:vAlign w:val="center"/>
          </w:tcPr>
          <w:p w:rsidR="007529F2" w:rsidRDefault="0070639F">
            <w:pPr>
              <w:adjustRightInd w:val="0"/>
              <w:snapToGrid w:val="0"/>
              <w:spacing w:line="400" w:lineRule="exact"/>
              <w:jc w:val="center"/>
              <w:rPr>
                <w:rFonts w:ascii="仿宋" w:eastAsia="仿宋" w:hAnsi="仿宋" w:cs="宋体"/>
                <w:color w:val="000000"/>
                <w:kern w:val="0"/>
                <w:sz w:val="24"/>
              </w:rPr>
            </w:pPr>
            <w:r>
              <w:rPr>
                <w:rFonts w:ascii="仿宋" w:eastAsia="仿宋" w:hAnsi="仿宋" w:cs="宋体" w:hint="eastAsia"/>
                <w:color w:val="000000"/>
                <w:kern w:val="0"/>
                <w:sz w:val="24"/>
              </w:rPr>
              <w:t>0%-100%</w:t>
            </w:r>
          </w:p>
        </w:tc>
      </w:tr>
    </w:tbl>
    <w:p w:rsidR="007529F2" w:rsidRDefault="0070639F">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7529F2" w:rsidRDefault="0070639F">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7529F2" w:rsidRDefault="007529F2">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7529F2" w:rsidRDefault="0070639F">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7529F2" w:rsidRDefault="0070639F">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w:t>
      </w:r>
      <w:r>
        <w:rPr>
          <w:rFonts w:ascii="仿宋" w:eastAsia="仿宋" w:hAnsi="仿宋" w:cs="宋体" w:hint="eastAsia"/>
          <w:color w:val="000000"/>
          <w:kern w:val="0"/>
          <w:sz w:val="24"/>
        </w:rPr>
        <w:lastRenderedPageBreak/>
        <w:t>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7529F2" w:rsidRDefault="0070639F">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7529F2" w:rsidRDefault="0070639F">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7529F2" w:rsidRDefault="0070639F" w:rsidP="00C472F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五</w:t>
      </w:r>
      <w:r>
        <w:rPr>
          <w:rFonts w:ascii="Times New Roman" w:eastAsia="黑体" w:cs="Times New Roman"/>
          <w:b/>
          <w:color w:val="auto"/>
        </w:rPr>
        <w:t>、认购</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7529F2" w:rsidRDefault="0070639F">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7529F2" w:rsidRDefault="0070639F">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7529F2" w:rsidRDefault="0070639F">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1.00</w:t>
      </w:r>
      <w:r w:rsidR="00010FE2">
        <w:rPr>
          <w:rFonts w:ascii="仿宋" w:eastAsia="仿宋" w:hAnsi="仿宋" w:cs="仿宋"/>
          <w:sz w:val="24"/>
        </w:rPr>
        <w:t>1</w:t>
      </w:r>
      <w:r>
        <w:rPr>
          <w:rFonts w:ascii="仿宋" w:eastAsia="仿宋" w:hAnsi="仿宋" w:cs="仿宋"/>
          <w:sz w:val="24"/>
        </w:rPr>
        <w:t>0</w:t>
      </w:r>
      <w:r>
        <w:rPr>
          <w:rFonts w:ascii="仿宋" w:eastAsia="仿宋" w:hAnsi="仿宋" w:cs="仿宋" w:hint="eastAsia"/>
          <w:sz w:val="24"/>
        </w:rPr>
        <w:t>，客户到期获得的金额为：</w:t>
      </w:r>
      <w:r>
        <w:rPr>
          <w:rFonts w:ascii="仿宋" w:eastAsia="仿宋" w:hAnsi="仿宋" w:cs="仿宋"/>
          <w:sz w:val="24"/>
        </w:rPr>
        <w:t>100,000*1.00</w:t>
      </w:r>
      <w:r w:rsidR="00010FE2">
        <w:rPr>
          <w:rFonts w:ascii="仿宋" w:eastAsia="仿宋" w:hAnsi="仿宋" w:cs="仿宋"/>
          <w:sz w:val="24"/>
        </w:rPr>
        <w:t>1</w:t>
      </w:r>
      <w:r>
        <w:rPr>
          <w:rFonts w:ascii="仿宋" w:eastAsia="仿宋" w:hAnsi="仿宋" w:cs="仿宋"/>
          <w:sz w:val="24"/>
        </w:rPr>
        <w:t>0=100</w:t>
      </w:r>
      <w:r w:rsidR="00010FE2">
        <w:rPr>
          <w:rFonts w:ascii="仿宋" w:eastAsia="仿宋" w:hAnsi="仿宋" w:cs="仿宋"/>
          <w:sz w:val="24"/>
        </w:rPr>
        <w:t>,1</w:t>
      </w:r>
      <w:r>
        <w:rPr>
          <w:rFonts w:ascii="仿宋" w:eastAsia="仿宋" w:hAnsi="仿宋" w:cs="仿宋"/>
          <w:sz w:val="24"/>
        </w:rPr>
        <w:t>00.00</w:t>
      </w:r>
      <w:r>
        <w:rPr>
          <w:rFonts w:ascii="仿宋" w:eastAsia="仿宋" w:hAnsi="仿宋" w:cs="仿宋" w:hint="eastAsia"/>
          <w:sz w:val="24"/>
        </w:rPr>
        <w:t>元</w:t>
      </w:r>
    </w:p>
    <w:p w:rsidR="007529F2" w:rsidRDefault="0070639F">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w:t>
      </w:r>
      <w:r>
        <w:rPr>
          <w:rFonts w:eastAsia="黑体" w:hint="eastAsia"/>
          <w:b/>
          <w:sz w:val="24"/>
        </w:rPr>
        <w:lastRenderedPageBreak/>
        <w:t>财本金，投资者应在对此风险有充分认识基础上谨慎投资。</w:t>
      </w:r>
    </w:p>
    <w:p w:rsidR="007529F2" w:rsidRDefault="0070639F">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本理财产品所投资的银行存款、货币市场工具等标准化债权类资产以及资产管理产品等资产。</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w:t>
      </w:r>
      <w:r>
        <w:rPr>
          <w:rFonts w:ascii="仿宋" w:eastAsia="仿宋" w:hAnsi="仿宋" w:hint="eastAsia"/>
          <w:color w:val="auto"/>
        </w:rPr>
        <w:lastRenderedPageBreak/>
        <w:t>提供的流动性折扣进行估值。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sidR="004530CC" w:rsidRPr="004530CC">
        <w:rPr>
          <w:rFonts w:ascii="仿宋" w:eastAsia="仿宋" w:hAnsi="仿宋" w:hint="eastAsia"/>
          <w:color w:val="auto"/>
        </w:rPr>
        <w:t>场外申赎</w:t>
      </w:r>
      <w:proofErr w:type="gramEnd"/>
      <w:r w:rsidR="004530CC" w:rsidRPr="004530CC">
        <w:rPr>
          <w:rFonts w:ascii="仿宋" w:eastAsia="仿宋" w:hAnsi="仿宋" w:hint="eastAsia"/>
          <w:color w:val="auto"/>
        </w:rPr>
        <w:t>的开放式非货币基金以估值日可获取的基金管理人公布的最新基金份额净值估值</w:t>
      </w:r>
      <w:r>
        <w:rPr>
          <w:rFonts w:ascii="仿宋" w:eastAsia="仿宋" w:hAnsi="仿宋" w:hint="eastAsia"/>
          <w:color w:val="auto"/>
        </w:rPr>
        <w:t>；</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w:t>
      </w:r>
      <w:r w:rsidR="004530CC" w:rsidRPr="004530CC">
        <w:rPr>
          <w:rFonts w:ascii="仿宋" w:eastAsia="仿宋" w:hAnsi="仿宋" w:hint="eastAsia"/>
          <w:color w:val="auto"/>
        </w:rPr>
        <w:t>货币基金以估值日可获取的基金管理人公布的最新万份收益计提红利</w:t>
      </w:r>
      <w:r>
        <w:rPr>
          <w:rFonts w:ascii="仿宋" w:eastAsia="仿宋" w:hAnsi="仿宋" w:hint="eastAsia"/>
          <w:color w:val="auto"/>
        </w:rPr>
        <w:t>。</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w:t>
      </w:r>
      <w:r>
        <w:rPr>
          <w:rFonts w:ascii="仿宋" w:eastAsia="仿宋" w:hAnsi="仿宋" w:hint="eastAsia"/>
          <w:color w:val="auto"/>
        </w:rPr>
        <w:lastRenderedPageBreak/>
        <w:t>变更事项，依法按最新规定计算。没有相关规定的，由产品管理人与托管人协商确定计算方法。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7529F2" w:rsidRDefault="0070639F">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7529F2" w:rsidRDefault="0070639F">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7529F2" w:rsidRDefault="0070639F">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7529F2" w:rsidRDefault="0070639F">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7529F2" w:rsidRDefault="0070639F">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7529F2" w:rsidRDefault="0070639F">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lastRenderedPageBreak/>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7529F2" w:rsidRDefault="0070639F">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7529F2" w:rsidRDefault="0070639F">
      <w:pPr>
        <w:spacing w:line="360" w:lineRule="exact"/>
        <w:ind w:firstLineChars="200" w:firstLine="482"/>
        <w:contextualSpacing/>
        <w:rPr>
          <w:rFonts w:eastAsia="黑体"/>
          <w:b/>
          <w:kern w:val="0"/>
          <w:sz w:val="24"/>
        </w:rPr>
      </w:pPr>
      <w:r>
        <w:rPr>
          <w:rFonts w:eastAsia="黑体" w:hint="eastAsia"/>
          <w:b/>
          <w:kern w:val="0"/>
          <w:sz w:val="24"/>
        </w:rPr>
        <w:lastRenderedPageBreak/>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7529F2" w:rsidRDefault="0070639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7529F2" w:rsidRDefault="0070639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7529F2" w:rsidRDefault="0070639F" w:rsidP="00C472F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w:t>
      </w:r>
      <w:r>
        <w:rPr>
          <w:rFonts w:ascii="仿宋" w:eastAsia="仿宋" w:hAnsi="仿宋" w:cs="宋体" w:hint="eastAsia"/>
          <w:b/>
          <w:kern w:val="0"/>
          <w:sz w:val="24"/>
        </w:rPr>
        <w:lastRenderedPageBreak/>
        <w:t>事项包括理财产品成立、不成立、净值、收益分配、到期、提前终止、延期、调整等内容。</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sidR="00546540">
        <w:rPr>
          <w:rFonts w:ascii="仿宋" w:eastAsia="仿宋" w:hAnsi="仿宋" w:cs="宋体" w:hint="eastAsia"/>
          <w:b/>
          <w:kern w:val="0"/>
          <w:sz w:val="24"/>
        </w:rPr>
        <w:t>华夏理财有限责任公司官方网站（www.hxwm.com.cn）、</w:t>
      </w:r>
      <w:r>
        <w:rPr>
          <w:rFonts w:ascii="仿宋" w:eastAsia="仿宋" w:hAnsi="仿宋" w:cs="宋体"/>
          <w:b/>
          <w:kern w:val="0"/>
          <w:sz w:val="24"/>
        </w:rPr>
        <w:t>华夏</w:t>
      </w:r>
      <w:r>
        <w:rPr>
          <w:rFonts w:ascii="仿宋" w:eastAsia="仿宋" w:hAnsi="仿宋" w:cs="宋体"/>
          <w:b/>
          <w:kern w:val="0"/>
          <w:sz w:val="24"/>
        </w:rPr>
        <w:lastRenderedPageBreak/>
        <w:t>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7529F2" w:rsidRDefault="0070639F">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sidR="00546540">
        <w:rPr>
          <w:rFonts w:ascii="仿宋" w:eastAsia="仿宋" w:hAnsi="仿宋" w:cs="宋体" w:hint="eastAsia"/>
          <w:b/>
          <w:kern w:val="0"/>
          <w:sz w:val="24"/>
        </w:rPr>
        <w:t>华夏理财有限责任公司官方网站（www.hxwm.com.cn）、</w:t>
      </w:r>
      <w:r>
        <w:rPr>
          <w:rFonts w:ascii="仿宋" w:eastAsia="仿宋" w:hAnsi="仿宋" w:cs="宋体"/>
          <w:b/>
          <w:bCs/>
          <w:kern w:val="0"/>
          <w:sz w:val="24"/>
        </w:rPr>
        <w:t>华夏银行官方网站公告的方式通知投资者。</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7529F2" w:rsidRDefault="0070639F">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70639F" w:rsidRDefault="0070639F">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70639F">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0791D"/>
    <w:rsid w:val="00010FE2"/>
    <w:rsid w:val="00013C4E"/>
    <w:rsid w:val="000161B5"/>
    <w:rsid w:val="00021827"/>
    <w:rsid w:val="00025F33"/>
    <w:rsid w:val="00033110"/>
    <w:rsid w:val="000337FD"/>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098"/>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25851"/>
    <w:rsid w:val="0053489D"/>
    <w:rsid w:val="00541B21"/>
    <w:rsid w:val="00546540"/>
    <w:rsid w:val="005622E8"/>
    <w:rsid w:val="00567419"/>
    <w:rsid w:val="0058195A"/>
    <w:rsid w:val="00583E9D"/>
    <w:rsid w:val="00587F99"/>
    <w:rsid w:val="005902F0"/>
    <w:rsid w:val="005A1AD3"/>
    <w:rsid w:val="005B0C42"/>
    <w:rsid w:val="005B5A4F"/>
    <w:rsid w:val="005B7E09"/>
    <w:rsid w:val="005D1B39"/>
    <w:rsid w:val="005D5825"/>
    <w:rsid w:val="005E4F8D"/>
    <w:rsid w:val="006030F8"/>
    <w:rsid w:val="00603823"/>
    <w:rsid w:val="00623292"/>
    <w:rsid w:val="00627FD4"/>
    <w:rsid w:val="006309B4"/>
    <w:rsid w:val="0064430D"/>
    <w:rsid w:val="006609EB"/>
    <w:rsid w:val="00661DAE"/>
    <w:rsid w:val="00664F8D"/>
    <w:rsid w:val="00665902"/>
    <w:rsid w:val="00665BDD"/>
    <w:rsid w:val="006714E1"/>
    <w:rsid w:val="00681C15"/>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47353"/>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45E28"/>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2942A8"/>
    <w:rsid w:val="2BBB2833"/>
    <w:rsid w:val="2BC42334"/>
    <w:rsid w:val="2C1011CD"/>
    <w:rsid w:val="2C40390A"/>
    <w:rsid w:val="2C4C703B"/>
    <w:rsid w:val="2C994559"/>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76CB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3D63BB7"/>
    <w:rsid w:val="445A3B32"/>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DD6C50"/>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C3F8C"/>
    <w:rsid w:val="6AFD414A"/>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945937AB-9C8B-4647-8E37-2034EB8F0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Pr>
      <w:sz w:val="21"/>
      <w:szCs w:val="21"/>
    </w:rPr>
  </w:style>
  <w:style w:type="character" w:customStyle="1" w:styleId="Char">
    <w:name w:val="批注文字 Char"/>
    <w:link w:val="a4"/>
    <w:qFormat/>
    <w:rPr>
      <w:kern w:val="2"/>
      <w:sz w:val="21"/>
      <w:szCs w:val="24"/>
    </w:rPr>
  </w:style>
  <w:style w:type="character" w:customStyle="1" w:styleId="Char0">
    <w:name w:val="批注主题 Char"/>
    <w:link w:val="a5"/>
    <w:qFormat/>
    <w:rPr>
      <w:b/>
      <w:bCs/>
      <w:kern w:val="2"/>
      <w:sz w:val="21"/>
      <w:szCs w:val="24"/>
    </w:rPr>
  </w:style>
  <w:style w:type="paragraph" w:styleId="a5">
    <w:name w:val="annotation subject"/>
    <w:basedOn w:val="a4"/>
    <w:next w:val="a4"/>
    <w:link w:val="Char0"/>
    <w:qFormat/>
    <w:rPr>
      <w:b/>
      <w:bCs/>
    </w:rPr>
  </w:style>
  <w:style w:type="paragraph" w:styleId="a4">
    <w:name w:val="annotation text"/>
    <w:basedOn w:val="a"/>
    <w:link w:val="Char"/>
    <w:qFormat/>
    <w:pPr>
      <w:jc w:val="left"/>
    </w:p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Balloon Text"/>
    <w:basedOn w:val="a"/>
    <w:semiHidden/>
    <w:qFormat/>
    <w:rPr>
      <w:sz w:val="18"/>
      <w:szCs w:val="18"/>
    </w:rPr>
  </w:style>
  <w:style w:type="paragraph" w:styleId="a9">
    <w:name w:val="Body Text Indent"/>
    <w:basedOn w:val="a"/>
    <w:unhideWhenUsed/>
    <w:qFormat/>
    <w:pPr>
      <w:ind w:firstLine="630"/>
    </w:pPr>
    <w:rPr>
      <w:kern w:val="0"/>
      <w:sz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2382</Words>
  <Characters>13581</Characters>
  <Application>Microsoft Office Word</Application>
  <DocSecurity>0</DocSecurity>
  <PresentationFormat/>
  <Lines>113</Lines>
  <Paragraphs>31</Paragraphs>
  <Slides>0</Slides>
  <Notes>0</Notes>
  <HiddenSlides>0</HiddenSlides>
  <MMClips>0</MMClips>
  <ScaleCrop>false</ScaleCrop>
  <Manager/>
  <Company>华夏银行总行</Company>
  <LinksUpToDate>false</LinksUpToDate>
  <CharactersWithSpaces>15932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华夏理财固定收益纯债型封闭式</dc:title>
  <dc:subject/>
  <dc:creator>ylh</dc:creator>
  <cp:keywords>稳健低波</cp:keywords>
  <dc:description/>
  <cp:lastModifiedBy>产品营销部</cp:lastModifiedBy>
  <cp:revision>3</cp:revision>
  <cp:lastPrinted>2023-03-20T06:17:00Z</cp:lastPrinted>
  <dcterms:created xsi:type="dcterms:W3CDTF">2023-04-19T07:28:00Z</dcterms:created>
  <dcterms:modified xsi:type="dcterms:W3CDTF">2023-04-19T07:30:00Z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