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矩形 0">
      <v:fill on="f" color2="#FFFFFF" focus="0%"/>
    </v:background>
  </w:background>
  <w:body>
    <w:p>
      <w:pPr>
        <w:pStyle w:val="4"/>
        <w:widowControl/>
        <w:spacing w:line="240" w:lineRule="auto"/>
        <w:ind w:firstLine="0"/>
        <w:jc w:val="center"/>
        <w:rPr>
          <w:rFonts w:eastAsia="黑体"/>
          <w:bCs/>
          <w:sz w:val="36"/>
          <w:szCs w:val="36"/>
        </w:rPr>
      </w:pPr>
      <w:r>
        <w:rPr>
          <w:rFonts w:hint="eastAsia" w:eastAsia="黑体"/>
          <w:bCs/>
          <w:sz w:val="36"/>
          <w:szCs w:val="36"/>
        </w:rPr>
        <w:t>华夏理财跃盈封闭式理财产品1</w:t>
      </w:r>
      <w:r>
        <w:rPr>
          <w:rFonts w:hint="eastAsia" w:eastAsia="黑体"/>
          <w:bCs/>
          <w:sz w:val="36"/>
          <w:szCs w:val="36"/>
          <w:lang w:val="en-US" w:eastAsia="zh-CN"/>
        </w:rPr>
        <w:t>2</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2"/>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华夏理财跃盈封闭式理财产品1</w:t>
            </w:r>
            <w:r>
              <w:rPr>
                <w:rFonts w:hint="eastAsia" w:ascii="仿宋" w:hAnsi="仿宋" w:eastAsia="仿宋"/>
                <w:b/>
                <w:bCs/>
                <w:szCs w:val="21"/>
                <w:lang w:val="en-US" w:eastAsia="zh-CN"/>
              </w:rPr>
              <w:t>2</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产品简称“华夏理财跃盈1</w:t>
            </w:r>
            <w:r>
              <w:rPr>
                <w:rFonts w:hint="eastAsia" w:ascii="仿宋" w:hAnsi="仿宋" w:eastAsia="仿宋"/>
                <w:b/>
                <w:bCs/>
                <w:szCs w:val="21"/>
                <w:lang w:val="en-US" w:eastAsia="zh-CN"/>
              </w:rPr>
              <w:t>2</w:t>
            </w:r>
            <w:r>
              <w:rPr>
                <w:rFonts w:hint="eastAsia" w:ascii="仿宋" w:hAnsi="仿宋" w:eastAsia="仿宋"/>
                <w:b/>
                <w:bCs/>
                <w:szCs w:val="21"/>
              </w:rPr>
              <w:t>号1</w:t>
            </w:r>
            <w:r>
              <w:rPr>
                <w:rFonts w:hint="eastAsia" w:ascii="仿宋" w:hAnsi="仿宋" w:eastAsia="仿宋"/>
                <w:b/>
                <w:bCs/>
                <w:szCs w:val="21"/>
                <w:lang w:val="en-US" w:eastAsia="zh-CN"/>
              </w:rPr>
              <w:t>88</w:t>
            </w:r>
            <w:r>
              <w:rPr>
                <w:rFonts w:hint="eastAsia" w:ascii="仿宋" w:hAnsi="仿宋" w:eastAsia="仿宋"/>
                <w:b/>
                <w:bCs/>
                <w:szCs w:val="21"/>
              </w:rPr>
              <w:t>天（中证</w:t>
            </w:r>
            <w:r>
              <w:rPr>
                <w:rFonts w:hint="eastAsia" w:ascii="仿宋" w:hAnsi="仿宋" w:eastAsia="仿宋"/>
                <w:b/>
                <w:bCs/>
                <w:szCs w:val="21"/>
                <w:lang w:val="en-US" w:eastAsia="zh-CN"/>
              </w:rPr>
              <w:t>500</w:t>
            </w:r>
            <w:r>
              <w:rPr>
                <w:rFonts w:hint="eastAsia" w:ascii="仿宋" w:hAnsi="仿宋" w:eastAsia="仿宋"/>
                <w:b/>
                <w:bCs/>
                <w:szCs w:val="21"/>
              </w:rPr>
              <w:t>鲨鱼鳍）”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2314101</w:t>
            </w:r>
            <w:r>
              <w:rPr>
                <w:rFonts w:hint="eastAsia" w:ascii="仿宋" w:hAnsi="仿宋" w:eastAsia="仿宋"/>
                <w:bCs/>
                <w:szCs w:val="21"/>
                <w:lang w:val="en-US" w:eastAsia="zh-CN"/>
              </w:rPr>
              <w:t>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Z700392300012</w:t>
            </w:r>
            <w:r>
              <w:rPr>
                <w:rFonts w:hint="eastAsia" w:ascii="仿宋" w:hAnsi="仿宋" w:eastAsia="仿宋"/>
                <w:bCs/>
                <w:szCs w:val="21"/>
                <w:lang w:val="en-US" w:eastAsia="zh-CN"/>
              </w:rPr>
              <w:t>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若观察日产品关联指数发生敲出事件，则业绩比较基准（年化）为</w:t>
            </w:r>
            <w:r>
              <w:rPr>
                <w:rFonts w:ascii="仿宋" w:hAnsi="仿宋" w:eastAsia="仿宋" w:cs="Cambria"/>
                <w:bCs/>
                <w:szCs w:val="21"/>
              </w:rPr>
              <w:t>4.</w:t>
            </w:r>
            <w:r>
              <w:rPr>
                <w:rFonts w:hint="eastAsia" w:ascii="仿宋" w:hAnsi="仿宋" w:eastAsia="仿宋" w:cs="Cambria"/>
                <w:bCs/>
                <w:szCs w:val="21"/>
                <w:lang w:val="en-US" w:eastAsia="zh-CN"/>
              </w:rPr>
              <w:t>3</w:t>
            </w:r>
            <w:r>
              <w:rPr>
                <w:rFonts w:ascii="仿宋" w:hAnsi="仿宋" w:eastAsia="仿宋" w:cs="Cambria"/>
                <w:bCs/>
                <w:szCs w:val="21"/>
              </w:rPr>
              <w:t>0%</w:t>
            </w:r>
            <w:r>
              <w:rPr>
                <w:rFonts w:hint="eastAsia" w:ascii="仿宋" w:hAnsi="仿宋" w:eastAsia="仿宋" w:cs="Cambria"/>
                <w:bCs/>
                <w:szCs w:val="21"/>
              </w:rPr>
              <w:t>；若观察日产品关联指数未发生敲出事件，则产品业绩比较基准（年化）为1.</w:t>
            </w:r>
            <w:r>
              <w:rPr>
                <w:rFonts w:hint="eastAsia" w:ascii="仿宋" w:hAnsi="仿宋" w:eastAsia="仿宋" w:cs="Cambria"/>
                <w:bCs/>
                <w:szCs w:val="21"/>
                <w:lang w:val="en-US" w:eastAsia="zh-CN"/>
              </w:rPr>
              <w:t>4</w:t>
            </w:r>
            <w:r>
              <w:rPr>
                <w:rFonts w:hint="eastAsia" w:ascii="仿宋" w:hAnsi="仿宋" w:eastAsia="仿宋" w:cs="Cambria"/>
                <w:bCs/>
                <w:szCs w:val="21"/>
              </w:rPr>
              <w:t>0%-</w:t>
            </w:r>
            <w:r>
              <w:rPr>
                <w:rFonts w:ascii="仿宋" w:hAnsi="仿宋" w:eastAsia="仿宋" w:cs="Cambria"/>
                <w:bCs/>
                <w:szCs w:val="21"/>
              </w:rPr>
              <w:t>5.</w:t>
            </w:r>
            <w:r>
              <w:rPr>
                <w:rFonts w:hint="eastAsia" w:ascii="仿宋" w:hAnsi="仿宋" w:eastAsia="仿宋" w:cs="Cambria"/>
                <w:bCs/>
                <w:szCs w:val="21"/>
                <w:lang w:val="en-US" w:eastAsia="zh-CN"/>
              </w:rPr>
              <w:t>4</w:t>
            </w:r>
            <w:r>
              <w:rPr>
                <w:rFonts w:ascii="仿宋" w:hAnsi="仿宋" w:eastAsia="仿宋" w:cs="Cambria"/>
                <w:bCs/>
                <w:szCs w:val="21"/>
              </w:rPr>
              <w:t>0%</w:t>
            </w:r>
            <w:r>
              <w:rPr>
                <w:rFonts w:hint="eastAsia" w:ascii="仿宋" w:hAnsi="仿宋" w:eastAsia="仿宋" w:cs="Cambria"/>
                <w:bCs/>
                <w:szCs w:val="21"/>
              </w:rPr>
              <w:t>。以产品债券类资产仓位60%-70%，收益凭证等非标债权类资产仓位30%-40%为例，参考久期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9</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lang w:val="en-US" w:eastAsia="zh-CN"/>
              </w:rPr>
              <w:t>88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2023年11月1</w:t>
            </w:r>
            <w:r>
              <w:rPr>
                <w:rFonts w:hint="eastAsia" w:ascii="仿宋" w:hAnsi="仿宋" w:eastAsia="仿宋"/>
                <w:bCs/>
                <w:szCs w:val="21"/>
                <w:lang w:val="en-US" w:eastAsia="zh-CN"/>
              </w:rPr>
              <w:t>4</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3</w:t>
            </w:r>
            <w:r>
              <w:rPr>
                <w:rFonts w:hint="eastAsia" w:ascii="仿宋" w:hAnsi="仿宋" w:eastAsia="仿宋"/>
                <w:bCs/>
                <w:szCs w:val="21"/>
              </w:rPr>
              <w:t>亿元</w:t>
            </w:r>
            <w:bookmarkStart w:id="7" w:name="_GoBack"/>
            <w:bookmarkEnd w:id="7"/>
            <w:r>
              <w:rPr>
                <w:rFonts w:hint="eastAsia" w:ascii="仿宋" w:hAnsi="仿宋" w:eastAsia="仿宋"/>
                <w:bCs/>
                <w:szCs w:val="21"/>
              </w:rPr>
              <w:t>，</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超额管理费计提基准为</w:t>
            </w:r>
            <w:r>
              <w:rPr>
                <w:rFonts w:ascii="仿宋" w:hAnsi="仿宋" w:eastAsia="仿宋" w:cs="Cambria"/>
                <w:b/>
                <w:bCs/>
                <w:szCs w:val="21"/>
              </w:rPr>
              <w:t>4.</w:t>
            </w:r>
            <w:r>
              <w:rPr>
                <w:rFonts w:hint="eastAsia" w:ascii="仿宋" w:hAnsi="仿宋" w:eastAsia="仿宋" w:cs="Cambria"/>
                <w:b/>
                <w:bCs/>
                <w:szCs w:val="21"/>
                <w:lang w:val="en-US" w:eastAsia="zh-CN"/>
              </w:rPr>
              <w:t>3</w:t>
            </w:r>
            <w:r>
              <w:rPr>
                <w:rFonts w:ascii="仿宋" w:hAnsi="仿宋" w:eastAsia="仿宋" w:cs="Cambria"/>
                <w:b/>
                <w:bCs/>
                <w:szCs w:val="21"/>
              </w:rPr>
              <w:t>0%</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2"/>
        <w:snapToGrid w:val="0"/>
        <w:spacing w:after="156" w:afterLines="50" w:line="400" w:lineRule="exact"/>
        <w:ind w:firstLine="482" w:firstLineChars="200"/>
        <w:jc w:val="both"/>
        <w:rPr>
          <w:rFonts w:ascii="Times New Roman" w:eastAsia="黑体" w:cs="Times New Roman"/>
          <w:b/>
          <w:color w:val="auto"/>
        </w:rPr>
      </w:pPr>
    </w:p>
    <w:p>
      <w:pPr>
        <w:pStyle w:val="12"/>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本理财产品将100%投资于固定收益类资产，主要投资于货币市场工具、标准化债权类资产、非标准化债权类资产等固定收益类资产。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非标债权类资产包括中证机构间报价系统股份有限公司的收益凭证等《标准化债权类资产认定规则》认定的非标准化债权类资产。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39"/>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3461" w:type="dxa"/>
            <w:vAlign w:val="center"/>
          </w:tcPr>
          <w:p>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非标债权类资产</w:t>
            </w:r>
          </w:p>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（券商收益凭证）</w:t>
            </w:r>
          </w:p>
        </w:tc>
        <w:tc>
          <w:tcPr>
            <w:tcW w:w="3461" w:type="dxa"/>
            <w:vAlign w:val="center"/>
          </w:tcPr>
          <w:p>
            <w:pPr>
              <w:adjustRightInd w:val="0"/>
              <w:snapToGrid w:val="0"/>
              <w:spacing w:line="400" w:lineRule="atLeast"/>
              <w:jc w:val="center"/>
              <w:rPr>
                <w:rFonts w:eastAsia="仿宋"/>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40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货币市场工具、标准化债权类资产</w:t>
            </w:r>
          </w:p>
        </w:tc>
        <w:tc>
          <w:tcPr>
            <w:tcW w:w="3461" w:type="dxa"/>
            <w:vAlign w:val="center"/>
          </w:tcPr>
          <w:p>
            <w:pPr>
              <w:adjustRightInd w:val="0"/>
              <w:snapToGrid w:val="0"/>
              <w:spacing w:line="400" w:lineRule="atLeast"/>
              <w:jc w:val="center"/>
              <w:rPr>
                <w:rFonts w:ascii="仿宋" w:hAnsi="仿宋" w:eastAsia="仿宋" w:cs="宋体"/>
                <w:color w:val="000000"/>
                <w:kern w:val="0"/>
                <w:sz w:val="24"/>
              </w:rPr>
            </w:pPr>
            <w:r>
              <w:rPr>
                <w:rFonts w:ascii="仿宋" w:hAnsi="仿宋" w:eastAsia="仿宋" w:cs="宋体"/>
                <w:color w:val="000000"/>
                <w:kern w:val="0"/>
                <w:sz w:val="24"/>
              </w:rPr>
              <w:t>60</w:t>
            </w:r>
            <w:r>
              <w:rPr>
                <w:rFonts w:hint="eastAsia" w:ascii="仿宋" w:hAnsi="仿宋" w:eastAsia="仿宋" w:cs="宋体"/>
                <w:color w:val="000000"/>
                <w:kern w:val="0"/>
                <w:sz w:val="24"/>
              </w:rPr>
              <w:t>%-100%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底层资产介绍</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本理财产品拟</w:t>
      </w:r>
      <w:r>
        <w:rPr>
          <w:rFonts w:ascii="仿宋" w:hAnsi="仿宋" w:eastAsia="仿宋" w:cs="宋体"/>
          <w:kern w:val="0"/>
          <w:sz w:val="24"/>
        </w:rPr>
        <w:t>以</w:t>
      </w:r>
      <w:r>
        <w:rPr>
          <w:rFonts w:hint="eastAsia" w:ascii="仿宋" w:hAnsi="仿宋" w:eastAsia="仿宋" w:cs="宋体"/>
          <w:kern w:val="0"/>
          <w:sz w:val="24"/>
        </w:rPr>
        <w:t>不超过</w:t>
      </w:r>
      <w:r>
        <w:rPr>
          <w:rFonts w:ascii="仿宋" w:hAnsi="仿宋" w:eastAsia="仿宋" w:cs="宋体"/>
          <w:kern w:val="0"/>
          <w:sz w:val="24"/>
        </w:rPr>
        <w:t>4</w:t>
      </w:r>
      <w:r>
        <w:rPr>
          <w:rFonts w:hint="eastAsia" w:ascii="仿宋" w:hAnsi="仿宋" w:eastAsia="仿宋" w:cs="宋体"/>
          <w:kern w:val="0"/>
          <w:sz w:val="24"/>
        </w:rPr>
        <w:t>0</w:t>
      </w:r>
      <w:r>
        <w:rPr>
          <w:rFonts w:ascii="仿宋" w:hAnsi="仿宋" w:eastAsia="仿宋" w:cs="宋体"/>
          <w:kern w:val="0"/>
          <w:sz w:val="24"/>
        </w:rPr>
        <w:t>%的资金投资于券商发行的浮动收益凭证</w:t>
      </w:r>
      <w:r>
        <w:rPr>
          <w:rFonts w:hint="eastAsia" w:ascii="仿宋" w:hAnsi="仿宋" w:eastAsia="仿宋" w:cs="宋体"/>
          <w:kern w:val="0"/>
          <w:sz w:val="24"/>
        </w:rPr>
        <w:t>。为便于投资者了解拟投资浮动收益凭证的概要，理财产品管理人列举以下浮动收益凭证核心要素，但本要素表信息并非本理财产品投资信息之全部。</w:t>
      </w:r>
    </w:p>
    <w:tbl>
      <w:tblPr>
        <w:tblStyle w:val="10"/>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6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sz w:val="22"/>
              </w:rPr>
            </w:pPr>
          </w:p>
        </w:tc>
        <w:tc>
          <w:tcPr>
            <w:tcW w:w="6143" w:type="dxa"/>
            <w:vAlign w:val="top"/>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鲨鱼鳍结构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挂钩标的</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中证</w:t>
            </w:r>
            <w:r>
              <w:rPr>
                <w:rFonts w:hint="eastAsia" w:ascii="仿宋" w:hAnsi="仿宋" w:eastAsia="仿宋" w:cs="微软简仿宋"/>
                <w:sz w:val="22"/>
                <w:lang w:val="en-US" w:eastAsia="zh-CN"/>
              </w:rPr>
              <w:t>500</w:t>
            </w:r>
            <w:r>
              <w:rPr>
                <w:rFonts w:hint="eastAsia" w:ascii="仿宋" w:hAnsi="仿宋" w:eastAsia="仿宋" w:cs="微软简仿宋"/>
                <w:sz w:val="22"/>
              </w:rPr>
              <w:t>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初始观察日</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收益凭证投资起始日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初始价格</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初始观察日的指数价格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观察日</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收益</w:t>
            </w:r>
            <w:r>
              <w:rPr>
                <w:rFonts w:ascii="仿宋" w:hAnsi="仿宋" w:eastAsia="仿宋" w:cs="微软简仿宋"/>
                <w:sz w:val="22"/>
              </w:rPr>
              <w:t>凭证</w:t>
            </w:r>
            <w:r>
              <w:rPr>
                <w:rFonts w:hint="eastAsia" w:ascii="仿宋" w:hAnsi="仿宋" w:eastAsia="仿宋" w:cs="微软简仿宋"/>
                <w:sz w:val="22"/>
              </w:rPr>
              <w:t>到期日观察一次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行权价</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w:t>
            </w:r>
            <w:r>
              <w:rPr>
                <w:rFonts w:hint="eastAsia" w:ascii="仿宋" w:hAnsi="仿宋" w:eastAsia="仿宋" w:cs="微软简仿宋"/>
                <w:sz w:val="22"/>
              </w:rPr>
              <w:t>0</w:t>
            </w:r>
            <w:r>
              <w:rPr>
                <w:rFonts w:ascii="仿宋" w:hAnsi="仿宋" w:eastAsia="仿宋" w:cs="微软简仿宋"/>
                <w:sz w:val="22"/>
              </w:rPr>
              <w:t>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障碍价</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110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参与率</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敲出事件</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观察日的指数价格大于等于障碍价</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2"/>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2"/>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2"/>
        <w:snapToGrid w:val="0"/>
        <w:spacing w:line="276" w:lineRule="auto"/>
        <w:ind w:firstLine="480" w:firstLineChars="200"/>
        <w:jc w:val="both"/>
        <w:rPr>
          <w:rFonts w:ascii="仿宋" w:hAnsi="仿宋" w:eastAsia="仿宋"/>
        </w:rPr>
      </w:pP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2"/>
        <w:snapToGrid w:val="0"/>
        <w:spacing w:line="276" w:lineRule="auto"/>
        <w:ind w:firstLine="480" w:firstLineChars="200"/>
        <w:contextualSpacing/>
        <w:rPr>
          <w:rFonts w:ascii="仿宋" w:hAnsi="仿宋" w:eastAsia="仿宋"/>
          <w:color w:val="auto"/>
        </w:rPr>
      </w:pPr>
      <w:r>
        <w:rPr>
          <w:rFonts w:ascii="仿宋" w:hAnsi="仿宋" w:eastAsia="仿宋"/>
          <w:color w:val="auto"/>
        </w:rPr>
        <w:t xml:space="preserve">11. </w:t>
      </w:r>
      <w:r>
        <w:rPr>
          <w:rFonts w:hint="eastAsia" w:ascii="仿宋" w:hAnsi="仿宋" w:eastAsia="仿宋"/>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2"/>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2"/>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简仿宋">
    <w:panose1 w:val="00000000000000000000"/>
    <w:charset w:val="86"/>
    <w:family w:val="auto"/>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A6ED7"/>
    <w:rsid w:val="000B0F79"/>
    <w:rsid w:val="000C03A9"/>
    <w:rsid w:val="000C784C"/>
    <w:rsid w:val="000D02FE"/>
    <w:rsid w:val="000D0355"/>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A2ED1"/>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32CD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0BBE"/>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041A"/>
    <w:rsid w:val="005E0594"/>
    <w:rsid w:val="005E4F8D"/>
    <w:rsid w:val="005E772E"/>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34FCC"/>
    <w:rsid w:val="0075453D"/>
    <w:rsid w:val="00755C63"/>
    <w:rsid w:val="00757C4D"/>
    <w:rsid w:val="007660D1"/>
    <w:rsid w:val="0077151B"/>
    <w:rsid w:val="0078428F"/>
    <w:rsid w:val="007930D6"/>
    <w:rsid w:val="00794BCC"/>
    <w:rsid w:val="007A237D"/>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15AEA"/>
    <w:rsid w:val="00B25021"/>
    <w:rsid w:val="00B2549A"/>
    <w:rsid w:val="00B26E45"/>
    <w:rsid w:val="00B302D6"/>
    <w:rsid w:val="00B33142"/>
    <w:rsid w:val="00B34C10"/>
    <w:rsid w:val="00B37587"/>
    <w:rsid w:val="00B64A10"/>
    <w:rsid w:val="00B7068C"/>
    <w:rsid w:val="00B75E52"/>
    <w:rsid w:val="00B835AA"/>
    <w:rsid w:val="00B86087"/>
    <w:rsid w:val="00B90CDB"/>
    <w:rsid w:val="00B960A6"/>
    <w:rsid w:val="00B97A5C"/>
    <w:rsid w:val="00BC7FC9"/>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CF4EE5"/>
    <w:rsid w:val="00D03E60"/>
    <w:rsid w:val="00D06EC1"/>
    <w:rsid w:val="00D07C3B"/>
    <w:rsid w:val="00D10CA5"/>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2805"/>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B60EA"/>
    <w:rsid w:val="00FC0983"/>
    <w:rsid w:val="00FC21F8"/>
    <w:rsid w:val="00FC5119"/>
    <w:rsid w:val="00FC6689"/>
    <w:rsid w:val="00FC72F2"/>
    <w:rsid w:val="00FF1A4F"/>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0367E0"/>
    <w:rsid w:val="21231293"/>
    <w:rsid w:val="21433609"/>
    <w:rsid w:val="214D162F"/>
    <w:rsid w:val="21AF0D95"/>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AE57AB9"/>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38437E"/>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semiHidden="0" w:name="Table Grid"/>
    <w:lsdException w:uiPriority="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4"/>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table" w:styleId="11">
    <w:name w:val="Table Grid"/>
    <w:basedOn w:val="10"/>
    <w:unhideWhenUsed/>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3">
    <w:name w:val="批注主题 Char"/>
    <w:link w:val="2"/>
    <w:qFormat/>
    <w:uiPriority w:val="0"/>
    <w:rPr>
      <w:b/>
      <w:bCs/>
      <w:kern w:val="2"/>
      <w:sz w:val="21"/>
      <w:szCs w:val="24"/>
    </w:rPr>
  </w:style>
  <w:style w:type="character" w:customStyle="1" w:styleId="14">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2434</Words>
  <Characters>13876</Characters>
  <Lines>115</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2023-04-14T03:44:00Z</dcterms:created>
  <dc:creator>ylh</dc:creator>
  <cp:keywords>跃盈</cp:keywords>
  <cp:lastModifiedBy>RORO</cp:lastModifiedBy>
  <cp:lastPrinted>2021-07-21T07:06:00Z</cp:lastPrinted>
  <dcterms:modified xsi:type="dcterms:W3CDTF">2023-04-26T11:26:07Z</dcterms:modified>
  <dc:title>华夏理财跃盈封闭式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