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widowControl/>
        <w:spacing w:line="240" w:lineRule="auto"/>
        <w:ind w:firstLine="0"/>
        <w:jc w:val="center"/>
        <w:rPr>
          <w:rFonts w:eastAsia="黑体"/>
          <w:bCs/>
          <w:sz w:val="36"/>
          <w:szCs w:val="36"/>
        </w:rPr>
      </w:pPr>
      <w:bookmarkStart w:id="7" w:name="_GoBack"/>
      <w:bookmarkEnd w:id="7"/>
      <w:r>
        <w:rPr>
          <w:rFonts w:hint="eastAsia" w:eastAsia="黑体"/>
          <w:bCs/>
          <w:sz w:val="36"/>
          <w:szCs w:val="36"/>
        </w:rPr>
        <w:t>华夏理财固定收益增强型精选封闭式理财产品2</w:t>
      </w:r>
      <w:r>
        <w:rPr>
          <w:rFonts w:hint="eastAsia" w:eastAsia="黑体"/>
          <w:bCs/>
          <w:sz w:val="36"/>
          <w:szCs w:val="36"/>
          <w:lang w:val="en-US" w:eastAsia="zh-CN"/>
        </w:rPr>
        <w:t>9</w:t>
      </w:r>
      <w:r>
        <w:rPr>
          <w:rFonts w:hint="eastAsia" w:eastAsia="黑体"/>
          <w:bCs/>
          <w:sz w:val="36"/>
          <w:szCs w:val="36"/>
        </w:rPr>
        <w:t>号</w:t>
      </w:r>
    </w:p>
    <w:p>
      <w:pPr>
        <w:pStyle w:val="4"/>
        <w:widowControl/>
        <w:spacing w:line="240" w:lineRule="auto"/>
        <w:ind w:firstLine="0"/>
        <w:jc w:val="center"/>
        <w:rPr>
          <w:rFonts w:eastAsia="黑体"/>
          <w:bCs/>
          <w:sz w:val="36"/>
          <w:szCs w:val="36"/>
        </w:rPr>
      </w:pPr>
      <w:r>
        <w:rPr>
          <w:rFonts w:hint="eastAsia" w:eastAsia="黑体"/>
          <w:bCs/>
          <w:sz w:val="36"/>
          <w:szCs w:val="36"/>
        </w:rPr>
        <w:t>说明书</w:t>
      </w:r>
    </w:p>
    <w:tbl>
      <w:tblPr>
        <w:tblStyle w:val="10"/>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1"/>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0"/>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华夏理财固定收益增强型精选封闭式理财产品2</w:t>
            </w:r>
            <w:r>
              <w:rPr>
                <w:rFonts w:hint="eastAsia" w:ascii="仿宋" w:hAnsi="仿宋" w:eastAsia="仿宋"/>
                <w:b/>
                <w:bCs/>
                <w:szCs w:val="21"/>
                <w:lang w:val="en-US" w:eastAsia="zh-CN"/>
              </w:rPr>
              <w:t>9</w:t>
            </w:r>
            <w:r>
              <w:rPr>
                <w:rFonts w:hint="eastAsia" w:ascii="仿宋" w:hAnsi="仿宋" w:eastAsia="仿宋"/>
                <w:b/>
                <w:bCs/>
                <w:szCs w:val="21"/>
              </w:rPr>
              <w:t>号</w:t>
            </w:r>
          </w:p>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A份额简称：“华夏理财固收增强精选封闭式2</w:t>
            </w:r>
            <w:r>
              <w:rPr>
                <w:rFonts w:hint="eastAsia" w:ascii="仿宋" w:hAnsi="仿宋" w:eastAsia="仿宋"/>
                <w:b/>
                <w:bCs/>
                <w:szCs w:val="21"/>
                <w:lang w:val="en-US" w:eastAsia="zh-CN"/>
              </w:rPr>
              <w:t>9</w:t>
            </w:r>
            <w:r>
              <w:rPr>
                <w:rFonts w:hint="eastAsia" w:ascii="仿宋" w:hAnsi="仿宋" w:eastAsia="仿宋"/>
                <w:b/>
                <w:bCs/>
                <w:szCs w:val="21"/>
              </w:rPr>
              <w:t>号4</w:t>
            </w:r>
            <w:r>
              <w:rPr>
                <w:rFonts w:hint="eastAsia" w:ascii="仿宋" w:hAnsi="仿宋" w:eastAsia="仿宋"/>
                <w:b/>
                <w:bCs/>
                <w:szCs w:val="21"/>
                <w:lang w:val="en-US" w:eastAsia="zh-CN"/>
              </w:rPr>
              <w:t>60</w:t>
            </w:r>
            <w:r>
              <w:rPr>
                <w:rFonts w:hint="eastAsia" w:ascii="仿宋" w:hAnsi="仿宋" w:eastAsia="仿宋"/>
                <w:b/>
                <w:bCs/>
                <w:szCs w:val="21"/>
              </w:rPr>
              <w:t>天A”</w:t>
            </w:r>
          </w:p>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B份额简称：“华夏理财固收增强精选封闭式2</w:t>
            </w:r>
            <w:r>
              <w:rPr>
                <w:rFonts w:hint="eastAsia" w:ascii="仿宋" w:hAnsi="仿宋" w:eastAsia="仿宋"/>
                <w:b/>
                <w:bCs/>
                <w:szCs w:val="21"/>
                <w:lang w:val="en-US" w:eastAsia="zh-CN"/>
              </w:rPr>
              <w:t>9</w:t>
            </w:r>
            <w:r>
              <w:rPr>
                <w:rFonts w:hint="eastAsia" w:ascii="仿宋" w:hAnsi="仿宋" w:eastAsia="仿宋"/>
                <w:b/>
                <w:bCs/>
                <w:szCs w:val="21"/>
              </w:rPr>
              <w:t>号4</w:t>
            </w:r>
            <w:r>
              <w:rPr>
                <w:rFonts w:hint="eastAsia" w:ascii="仿宋" w:hAnsi="仿宋" w:eastAsia="仿宋"/>
                <w:b/>
                <w:bCs/>
                <w:szCs w:val="21"/>
                <w:lang w:val="en-US" w:eastAsia="zh-CN"/>
              </w:rPr>
              <w:t>60</w:t>
            </w:r>
            <w:r>
              <w:rPr>
                <w:rFonts w:hint="eastAsia" w:ascii="仿宋" w:hAnsi="仿宋" w:eastAsia="仿宋"/>
                <w:b/>
                <w:bCs/>
                <w:szCs w:val="21"/>
              </w:rPr>
              <w:t>天B”</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46"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2</w:t>
            </w:r>
            <w:r>
              <w:rPr>
                <w:rFonts w:hint="eastAsia" w:ascii="仿宋" w:hAnsi="仿宋" w:eastAsia="仿宋"/>
                <w:bCs/>
                <w:szCs w:val="21"/>
                <w:lang w:val="en-US" w:eastAsia="zh-CN"/>
              </w:rPr>
              <w:t>3</w:t>
            </w:r>
            <w:r>
              <w:rPr>
                <w:rFonts w:ascii="仿宋" w:hAnsi="仿宋" w:eastAsia="仿宋"/>
                <w:bCs/>
                <w:szCs w:val="21"/>
              </w:rPr>
              <w:t>15102</w:t>
            </w:r>
            <w:r>
              <w:rPr>
                <w:rFonts w:hint="eastAsia" w:ascii="仿宋" w:hAnsi="仿宋" w:eastAsia="仿宋"/>
                <w:bCs/>
                <w:szCs w:val="21"/>
                <w:lang w:val="en-US" w:eastAsia="zh-CN"/>
              </w:rPr>
              <w:t>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A份额代码：</w:t>
            </w:r>
            <w:r>
              <w:rPr>
                <w:rFonts w:ascii="仿宋" w:hAnsi="仿宋" w:eastAsia="仿宋"/>
                <w:bCs/>
                <w:szCs w:val="21"/>
              </w:rPr>
              <w:t>2</w:t>
            </w:r>
            <w:r>
              <w:rPr>
                <w:rFonts w:hint="eastAsia" w:ascii="仿宋" w:hAnsi="仿宋" w:eastAsia="仿宋"/>
                <w:bCs/>
                <w:szCs w:val="21"/>
                <w:lang w:val="en-US" w:eastAsia="zh-CN"/>
              </w:rPr>
              <w:t>3</w:t>
            </w:r>
            <w:r>
              <w:rPr>
                <w:rFonts w:ascii="仿宋" w:hAnsi="仿宋" w:eastAsia="仿宋"/>
                <w:bCs/>
                <w:szCs w:val="21"/>
              </w:rPr>
              <w:t>15102</w:t>
            </w:r>
            <w:r>
              <w:rPr>
                <w:rFonts w:hint="eastAsia" w:ascii="仿宋" w:hAnsi="仿宋" w:eastAsia="仿宋"/>
                <w:bCs/>
                <w:szCs w:val="21"/>
                <w:lang w:val="en-US" w:eastAsia="zh-CN"/>
              </w:rPr>
              <w:t>9</w:t>
            </w:r>
            <w:r>
              <w:rPr>
                <w:rFonts w:hint="eastAsia" w:ascii="仿宋" w:hAnsi="仿宋" w:eastAsia="仿宋"/>
                <w:bCs/>
                <w:szCs w:val="21"/>
              </w:rPr>
              <w:t>A</w:t>
            </w:r>
          </w:p>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B份额代码：</w:t>
            </w:r>
            <w:r>
              <w:rPr>
                <w:rFonts w:ascii="仿宋" w:hAnsi="仿宋" w:eastAsia="仿宋"/>
                <w:bCs/>
                <w:szCs w:val="21"/>
              </w:rPr>
              <w:t>2</w:t>
            </w:r>
            <w:r>
              <w:rPr>
                <w:rFonts w:hint="eastAsia" w:ascii="仿宋" w:hAnsi="仿宋" w:eastAsia="仿宋"/>
                <w:bCs/>
                <w:szCs w:val="21"/>
                <w:lang w:val="en-US" w:eastAsia="zh-CN"/>
              </w:rPr>
              <w:t>3</w:t>
            </w:r>
            <w:r>
              <w:rPr>
                <w:rFonts w:ascii="仿宋" w:hAnsi="仿宋" w:eastAsia="仿宋"/>
                <w:bCs/>
                <w:szCs w:val="21"/>
              </w:rPr>
              <w:t>15102</w:t>
            </w:r>
            <w:r>
              <w:rPr>
                <w:rFonts w:hint="eastAsia" w:ascii="仿宋" w:hAnsi="仿宋" w:eastAsia="仿宋"/>
                <w:bCs/>
                <w:szCs w:val="21"/>
                <w:lang w:val="en-US" w:eastAsia="zh-CN"/>
              </w:rPr>
              <w:t>9</w:t>
            </w:r>
            <w:r>
              <w:rPr>
                <w:rFonts w:hint="eastAsia" w:ascii="仿宋" w:hAnsi="仿宋" w:eastAsia="仿宋"/>
                <w:bCs/>
                <w:szCs w:val="21"/>
              </w:rPr>
              <w:t>B</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ascii="仿宋" w:hAnsi="仿宋" w:eastAsia="仿宋"/>
                <w:bCs/>
                <w:szCs w:val="21"/>
              </w:rPr>
              <w:t>Z700392</w:t>
            </w:r>
            <w:r>
              <w:rPr>
                <w:rFonts w:hint="eastAsia" w:ascii="仿宋" w:hAnsi="仿宋" w:eastAsia="仿宋"/>
                <w:bCs/>
                <w:szCs w:val="21"/>
                <w:lang w:val="en-US" w:eastAsia="zh-CN"/>
              </w:rPr>
              <w:t>3</w:t>
            </w:r>
            <w:r>
              <w:rPr>
                <w:rFonts w:ascii="仿宋" w:hAnsi="仿宋" w:eastAsia="仿宋"/>
                <w:bCs/>
                <w:szCs w:val="21"/>
              </w:rPr>
              <w:t>0001</w:t>
            </w:r>
            <w:r>
              <w:rPr>
                <w:rFonts w:hint="eastAsia" w:ascii="仿宋" w:hAnsi="仿宋" w:eastAsia="仿宋"/>
                <w:bCs/>
                <w:szCs w:val="21"/>
                <w:lang w:val="en-US" w:eastAsia="zh-CN"/>
              </w:rPr>
              <w:t>79</w:t>
            </w:r>
          </w:p>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rPr>
              <w:t xml:space="preserve"> </w:t>
            </w:r>
            <w:r>
              <w:rPr>
                <w:rFonts w:hint="eastAsia" w:ascii="仿宋" w:hAnsi="仿宋" w:eastAsia="仿宋"/>
                <w:bCs/>
                <w:szCs w:val="21"/>
              </w:rPr>
              <w:t>PR2级（中低风险）</w:t>
            </w:r>
            <w:r>
              <w:rPr>
                <w:rFonts w:ascii="仿宋" w:hAnsi="仿宋"/>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b/>
              </w:rPr>
            </w:pPr>
            <w:r>
              <w:rPr>
                <w:rFonts w:hint="eastAsia" w:ascii="仿宋" w:hAnsi="仿宋" w:eastAsia="仿宋"/>
                <w:bCs/>
                <w:szCs w:val="21"/>
              </w:rPr>
              <w:t>本理财产品通过代理销售机构（以下简称“代销机构”）渠道销售的，理财产品评级应当以</w:t>
            </w:r>
            <w:bookmarkStart w:id="1" w:name="_Hlk76302700"/>
            <w:r>
              <w:rPr>
                <w:rFonts w:hint="eastAsia" w:ascii="仿宋" w:hAnsi="仿宋" w:eastAsia="仿宋"/>
                <w:bCs/>
                <w:szCs w:val="21"/>
              </w:rPr>
              <w:t>代销机构最终披露的评级结果</w:t>
            </w:r>
            <w:bookmarkEnd w:id="1"/>
            <w:r>
              <w:rPr>
                <w:rFonts w:hint="eastAsia" w:ascii="仿宋" w:hAnsi="仿宋" w:eastAsia="仿宋"/>
                <w:bCs/>
                <w:szCs w:val="21"/>
              </w:rPr>
              <w:t>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个人投资者、机构投资</w:t>
            </w:r>
            <w:r>
              <w:rPr>
                <w:rFonts w:ascii="仿宋" w:hAnsi="仿宋" w:eastAsia="仿宋"/>
                <w:bCs/>
                <w:szCs w:val="21"/>
              </w:rPr>
              <w:t>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rPr>
              <w:t xml:space="preserve"> CR2（稳健型）、CR3（平衡型）、CR4（进取型）、CR5（激进型）</w:t>
            </w:r>
            <w:r>
              <w:rPr>
                <w:rFonts w:ascii="仿宋" w:hAnsi="仿宋"/>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业绩比较</w:t>
            </w:r>
            <w:r>
              <w:rPr>
                <w:rFonts w:hint="eastAsia" w:ascii="仿宋" w:hAnsi="仿宋" w:eastAsia="仿宋" w:cs="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A份额：业绩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4.00%</w:t>
            </w:r>
            <w:r>
              <w:rPr>
                <w:rFonts w:hint="eastAsia" w:ascii="仿宋" w:hAnsi="仿宋" w:eastAsia="仿宋" w:cs="Cambria"/>
                <w:bCs/>
                <w:szCs w:val="21"/>
              </w:rPr>
              <w:t>（年化）；B份额：业绩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3.</w:t>
            </w:r>
            <w:r>
              <w:rPr>
                <w:rFonts w:hint="eastAsia" w:ascii="仿宋" w:hAnsi="仿宋" w:eastAsia="仿宋" w:cs="Cambria"/>
                <w:bCs/>
                <w:szCs w:val="21"/>
                <w:lang w:val="en-US" w:eastAsia="zh-CN"/>
              </w:rPr>
              <w:t>8</w:t>
            </w:r>
            <w:r>
              <w:rPr>
                <w:rFonts w:ascii="仿宋" w:hAnsi="仿宋" w:eastAsia="仿宋" w:cs="Cambria"/>
                <w:bCs/>
                <w:szCs w:val="21"/>
              </w:rPr>
              <w:t>5%</w:t>
            </w:r>
            <w:r>
              <w:rPr>
                <w:rFonts w:hint="eastAsia" w:ascii="仿宋" w:hAnsi="仿宋" w:eastAsia="仿宋" w:cs="Cambria"/>
                <w:bCs/>
                <w:szCs w:val="21"/>
              </w:rPr>
              <w:t>（年化）。以产品投资债券类资产仓位70%-100%，收益凭证</w:t>
            </w:r>
            <w:r>
              <w:rPr>
                <w:rFonts w:hint="eastAsia" w:ascii="仿宋" w:hAnsi="仿宋" w:eastAsia="仿宋" w:cs="Cambria"/>
                <w:bCs/>
                <w:szCs w:val="21"/>
                <w:lang w:val="en-US" w:eastAsia="zh-CN"/>
              </w:rPr>
              <w:t>及其他</w:t>
            </w:r>
            <w:r>
              <w:rPr>
                <w:rFonts w:hint="eastAsia" w:ascii="仿宋" w:hAnsi="仿宋" w:eastAsia="仿宋" w:cs="Cambria"/>
                <w:bCs/>
                <w:szCs w:val="21"/>
              </w:rPr>
              <w:t>非标债权类资产仓位0-45%，权益类资产仓位0-5%，组合杠杆率120%-140%为例，参考中债-信用债总财富指数、持有到期为目的的目标债券到期收益率、非标债权类资产目标收益率以及收益凭证的收益特征、Wind混合型基金总指数，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rPr>
                <w:rFonts w:ascii="仿宋" w:hAnsi="仿宋" w:eastAsia="仿宋" w:cs="Cambria"/>
                <w:bCs/>
                <w:szCs w:val="21"/>
              </w:rPr>
            </w:pPr>
            <w:r>
              <w:rPr>
                <w:rFonts w:hint="eastAsia" w:ascii="仿宋" w:hAnsi="仿宋" w:eastAsia="仿宋" w:cs="Cambria"/>
                <w:bCs/>
                <w:szCs w:val="21"/>
              </w:rPr>
              <w:t xml:space="preserve">    华夏理财有权根据市场情况及产品运作情况调整业绩比较基准，并至少于新业绩比较基准启用前3个工作日公告。</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bookmarkStart w:id="2" w:name="OLE_LINK2" w:colFirst="1" w:colLast="1"/>
            <w:bookmarkStart w:id="3" w:name="OLE_LINK3" w:colFirst="1" w:colLast="1"/>
            <w:bookmarkStart w:id="4"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30</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2023年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6</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2"/>
      <w:bookmarkEnd w:id="3"/>
      <w:bookmarkEnd w:id="4"/>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7</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lang w:val="en-US" w:eastAsia="zh-CN"/>
              </w:rPr>
              <w:t>60</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2024年</w:t>
            </w:r>
            <w:r>
              <w:rPr>
                <w:rFonts w:hint="eastAsia" w:ascii="仿宋" w:hAnsi="仿宋" w:eastAsia="仿宋"/>
                <w:bCs/>
                <w:szCs w:val="21"/>
                <w:lang w:val="en-US" w:eastAsia="zh-CN"/>
              </w:rPr>
              <w:t>10</w:t>
            </w:r>
            <w:r>
              <w:rPr>
                <w:rFonts w:hint="eastAsia" w:ascii="仿宋" w:hAnsi="仿宋" w:eastAsia="仿宋"/>
                <w:bCs/>
                <w:szCs w:val="21"/>
              </w:rPr>
              <w:t>月</w:t>
            </w:r>
            <w:r>
              <w:rPr>
                <w:rFonts w:hint="eastAsia" w:ascii="仿宋" w:hAnsi="仿宋" w:eastAsia="仿宋"/>
                <w:bCs/>
                <w:szCs w:val="21"/>
                <w:lang w:val="en-US" w:eastAsia="zh-CN"/>
              </w:rPr>
              <w:t>9</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rPr>
                <w:rFonts w:ascii="仿宋" w:hAnsi="仿宋" w:eastAsia="仿宋"/>
                <w:bCs/>
                <w:szCs w:val="21"/>
              </w:rPr>
            </w:pPr>
            <w:r>
              <w:rPr>
                <w:rFonts w:hint="eastAsia" w:ascii="仿宋" w:hAnsi="仿宋" w:eastAsia="仿宋"/>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后2个工作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rPr>
            </w:pPr>
            <w:r>
              <w:rPr>
                <w:rFonts w:hint="eastAsia" w:ascii="仿宋" w:hAnsi="仿宋" w:eastAsia="仿宋"/>
                <w:bCs/>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计划发行规模上限为30</w:t>
            </w:r>
            <w:r>
              <w:rPr>
                <w:rFonts w:hint="eastAsia" w:ascii="仿宋" w:hAnsi="仿宋" w:eastAsia="仿宋"/>
                <w:bCs/>
                <w:szCs w:val="21"/>
              </w:rPr>
              <w:t>亿元，</w:t>
            </w:r>
            <w:r>
              <w:rPr>
                <w:rFonts w:ascii="仿宋" w:hAnsi="仿宋" w:eastAsia="仿宋"/>
                <w:bCs/>
                <w:szCs w:val="21"/>
              </w:rPr>
              <w:t>发行规模下限为</w:t>
            </w:r>
            <w:r>
              <w:rPr>
                <w:rFonts w:hint="eastAsia" w:ascii="仿宋" w:hAnsi="仿宋" w:eastAsia="仿宋"/>
                <w:bCs/>
                <w:szCs w:val="21"/>
                <w:lang w:val="en-US" w:eastAsia="zh-CN"/>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A份额：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cs="Cambria"/>
                <w:bCs/>
                <w:szCs w:val="21"/>
              </w:rPr>
              <w:t>B份额：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jc w:val="center"/>
              <w:rPr>
                <w:rFonts w:ascii="仿宋" w:hAnsi="仿宋" w:eastAsia="仿宋"/>
                <w:bCs/>
                <w:szCs w:val="21"/>
              </w:rP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rPr>
                <w:rFonts w:ascii="仿宋" w:hAnsi="仿宋" w:eastAsia="仿宋"/>
                <w:b/>
                <w:bCs/>
                <w:szCs w:val="21"/>
              </w:rPr>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华夏理财将于2个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w:t>
            </w:r>
            <w:r>
              <w:rPr>
                <w:rFonts w:ascii="仿宋" w:hAnsi="仿宋" w:eastAsia="仿宋"/>
              </w:rPr>
              <w:t>7</w:t>
            </w:r>
            <w:r>
              <w:rPr>
                <w:rFonts w:hint="eastAsia" w:ascii="仿宋" w:hAnsi="仿宋" w:eastAsia="仿宋"/>
              </w:rPr>
              <w:t>:30（含）之后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w:t>
            </w:r>
            <w:r>
              <w:rPr>
                <w:rFonts w:ascii="仿宋" w:hAnsi="仿宋" w:eastAsia="仿宋"/>
              </w:rPr>
              <w:t>7</w:t>
            </w:r>
            <w:r>
              <w:rPr>
                <w:rFonts w:hint="eastAsia" w:ascii="仿宋" w:hAnsi="仿宋" w:eastAsia="仿宋"/>
              </w:rPr>
              <w:t>:30（含）之后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szCs w:val="21"/>
              </w:rPr>
            </w:pPr>
            <w:r>
              <w:rPr>
                <w:rFonts w:hint="eastAsia" w:ascii="仿宋" w:hAnsi="仿宋" w:eastAsia="仿宋"/>
                <w:b/>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
                <w:szCs w:val="21"/>
              </w:rPr>
            </w:pPr>
            <w:r>
              <w:rPr>
                <w:rFonts w:hint="eastAsia" w:ascii="仿宋" w:hAnsi="仿宋" w:eastAsia="仿宋"/>
                <w:b/>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0.03%/年，以前一日资产净值为基数，每日计提。</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F=E×【0.03%】/当年天数。F为托管费；E为计算</w:t>
            </w:r>
            <w:r>
              <w:rPr>
                <w:rFonts w:ascii="仿宋" w:hAnsi="仿宋" w:eastAsia="仿宋"/>
                <w:b/>
                <w:szCs w:val="21"/>
              </w:rPr>
              <w:t>基数</w:t>
            </w:r>
            <w:r>
              <w:rPr>
                <w:rFonts w:hint="eastAsia" w:ascii="仿宋" w:hAnsi="仿宋" w:eastAsia="仿宋"/>
                <w:b/>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jc w:val="left"/>
              <w:rPr>
                <w:rFonts w:ascii="仿宋" w:hAnsi="仿宋" w:eastAsia="仿宋" w:cs="Cambria"/>
                <w:b/>
                <w:szCs w:val="21"/>
              </w:rPr>
            </w:pPr>
            <w:r>
              <w:rPr>
                <w:rFonts w:hint="eastAsia" w:ascii="仿宋" w:hAnsi="仿宋" w:eastAsia="仿宋" w:cs="Cambria"/>
                <w:b/>
                <w:szCs w:val="21"/>
              </w:rPr>
              <w:t>A份额：</w:t>
            </w:r>
            <w:r>
              <w:rPr>
                <w:rFonts w:hint="eastAsia" w:ascii="仿宋" w:hAnsi="仿宋" w:eastAsia="仿宋"/>
                <w:b/>
                <w:szCs w:val="21"/>
              </w:rPr>
              <w:t>销售</w:t>
            </w:r>
            <w:r>
              <w:rPr>
                <w:rFonts w:ascii="仿宋" w:hAnsi="仿宋" w:eastAsia="仿宋"/>
                <w:b/>
                <w:szCs w:val="21"/>
              </w:rPr>
              <w:t>手续费率</w:t>
            </w:r>
            <w:r>
              <w:rPr>
                <w:rFonts w:hint="eastAsia" w:ascii="仿宋" w:hAnsi="仿宋" w:eastAsia="仿宋"/>
                <w:b/>
                <w:szCs w:val="21"/>
              </w:rPr>
              <w:t>为</w:t>
            </w:r>
            <w:r>
              <w:rPr>
                <w:rFonts w:ascii="仿宋" w:hAnsi="仿宋" w:eastAsia="仿宋"/>
                <w:b/>
                <w:szCs w:val="21"/>
              </w:rPr>
              <w:t>0.</w:t>
            </w:r>
            <w:r>
              <w:rPr>
                <w:rFonts w:hint="eastAsia" w:ascii="仿宋" w:hAnsi="仿宋" w:eastAsia="仿宋"/>
                <w:b/>
                <w:szCs w:val="21"/>
                <w:lang w:val="en-US" w:eastAsia="zh-CN"/>
              </w:rPr>
              <w:t>1</w:t>
            </w:r>
            <w:r>
              <w:rPr>
                <w:rFonts w:ascii="仿宋" w:hAnsi="仿宋" w:eastAsia="仿宋"/>
                <w:b/>
                <w:szCs w:val="21"/>
              </w:rPr>
              <w:t>5%</w:t>
            </w:r>
            <w:r>
              <w:rPr>
                <w:rFonts w:hint="eastAsia" w:ascii="仿宋" w:hAnsi="仿宋" w:eastAsia="仿宋"/>
                <w:b/>
                <w:szCs w:val="21"/>
              </w:rPr>
              <w:t>/年，以前一日资产净值为基数，每日计提。</w:t>
            </w:r>
          </w:p>
          <w:p>
            <w:pPr>
              <w:adjustRightInd w:val="0"/>
              <w:snapToGrid w:val="0"/>
              <w:spacing w:line="300" w:lineRule="exact"/>
              <w:ind w:firstLine="422" w:firstLineChars="200"/>
              <w:jc w:val="left"/>
              <w:rPr>
                <w:rFonts w:ascii="仿宋" w:hAnsi="仿宋" w:eastAsia="仿宋"/>
                <w:b/>
                <w:szCs w:val="21"/>
              </w:rPr>
            </w:pPr>
            <w:r>
              <w:rPr>
                <w:rFonts w:hint="eastAsia" w:ascii="仿宋" w:hAnsi="仿宋" w:eastAsia="仿宋" w:cs="Cambria"/>
                <w:b/>
                <w:szCs w:val="21"/>
              </w:rPr>
              <w:t>B份额：</w:t>
            </w:r>
            <w:r>
              <w:rPr>
                <w:rFonts w:hint="eastAsia" w:ascii="仿宋" w:hAnsi="仿宋" w:eastAsia="仿宋"/>
                <w:b/>
                <w:szCs w:val="21"/>
              </w:rPr>
              <w:t>销售</w:t>
            </w:r>
            <w:r>
              <w:rPr>
                <w:rFonts w:ascii="仿宋" w:hAnsi="仿宋" w:eastAsia="仿宋"/>
                <w:b/>
                <w:szCs w:val="21"/>
              </w:rPr>
              <w:t>手续费率</w:t>
            </w:r>
            <w:r>
              <w:rPr>
                <w:rFonts w:hint="eastAsia" w:ascii="仿宋" w:hAnsi="仿宋" w:eastAsia="仿宋"/>
                <w:b/>
                <w:szCs w:val="21"/>
              </w:rPr>
              <w:t>为</w:t>
            </w:r>
            <w:r>
              <w:rPr>
                <w:rFonts w:ascii="仿宋" w:hAnsi="仿宋" w:eastAsia="仿宋"/>
                <w:b/>
                <w:szCs w:val="21"/>
              </w:rPr>
              <w:t>0.30%</w:t>
            </w:r>
            <w:r>
              <w:rPr>
                <w:rFonts w:hint="eastAsia" w:ascii="仿宋" w:hAnsi="仿宋" w:eastAsia="仿宋"/>
                <w:b/>
                <w:szCs w:val="21"/>
              </w:rPr>
              <w:t>/年，以前一日资产净值为基数，每日计提。</w:t>
            </w:r>
          </w:p>
          <w:p>
            <w:pPr>
              <w:adjustRightInd w:val="0"/>
              <w:snapToGrid w:val="0"/>
              <w:spacing w:line="300" w:lineRule="exac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F=E×【各</w:t>
            </w:r>
            <w:r>
              <w:rPr>
                <w:rFonts w:ascii="仿宋" w:hAnsi="仿宋" w:eastAsia="仿宋"/>
                <w:b/>
                <w:szCs w:val="21"/>
              </w:rPr>
              <w:t>份额</w:t>
            </w:r>
            <w:r>
              <w:rPr>
                <w:rFonts w:hint="eastAsia" w:ascii="仿宋" w:hAnsi="仿宋" w:eastAsia="仿宋"/>
                <w:b/>
                <w:szCs w:val="21"/>
              </w:rPr>
              <w:t>销售</w:t>
            </w:r>
            <w:r>
              <w:rPr>
                <w:rFonts w:ascii="仿宋" w:hAnsi="仿宋" w:eastAsia="仿宋"/>
                <w:b/>
                <w:szCs w:val="21"/>
              </w:rPr>
              <w:t>手续费率</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。F为各</w:t>
            </w:r>
            <w:r>
              <w:rPr>
                <w:rFonts w:ascii="仿宋" w:hAnsi="仿宋" w:eastAsia="仿宋"/>
                <w:b/>
                <w:szCs w:val="21"/>
              </w:rPr>
              <w:t>份额</w:t>
            </w:r>
            <w:r>
              <w:rPr>
                <w:rFonts w:hint="eastAsia" w:ascii="仿宋" w:hAnsi="仿宋" w:eastAsia="仿宋"/>
                <w:b/>
                <w:szCs w:val="21"/>
              </w:rPr>
              <w:t>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szCs w:val="21"/>
              </w:rPr>
            </w:pPr>
            <w:r>
              <w:rPr>
                <w:rFonts w:ascii="仿宋" w:hAnsi="仿宋" w:eastAsia="仿宋"/>
                <w:b/>
                <w:szCs w:val="21"/>
              </w:rPr>
              <w:t>0.</w:t>
            </w:r>
            <w:r>
              <w:rPr>
                <w:rFonts w:hint="eastAsia" w:ascii="仿宋" w:hAnsi="仿宋" w:eastAsia="仿宋"/>
                <w:b/>
                <w:szCs w:val="21"/>
                <w:lang w:val="en-US" w:eastAsia="zh-CN"/>
              </w:rPr>
              <w:t>1</w:t>
            </w:r>
            <w:r>
              <w:rPr>
                <w:rFonts w:ascii="仿宋" w:hAnsi="仿宋" w:eastAsia="仿宋"/>
                <w:b/>
                <w:szCs w:val="21"/>
              </w:rPr>
              <w:t>5%</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F=E×【</w:t>
            </w:r>
            <w:r>
              <w:rPr>
                <w:rFonts w:ascii="仿宋" w:hAnsi="仿宋" w:eastAsia="仿宋"/>
                <w:b/>
                <w:szCs w:val="21"/>
              </w:rPr>
              <w:t>0.</w:t>
            </w:r>
            <w:r>
              <w:rPr>
                <w:rFonts w:hint="eastAsia" w:ascii="仿宋" w:hAnsi="仿宋" w:eastAsia="仿宋"/>
                <w:b/>
                <w:szCs w:val="21"/>
                <w:lang w:val="en-US" w:eastAsia="zh-CN"/>
              </w:rPr>
              <w:t>1</w:t>
            </w:r>
            <w:r>
              <w:rPr>
                <w:rFonts w:ascii="仿宋" w:hAnsi="仿宋" w:eastAsia="仿宋"/>
                <w:b/>
                <w:szCs w:val="21"/>
              </w:rPr>
              <w:t>5%</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。F为固定管理费；E为计算</w:t>
            </w:r>
            <w:r>
              <w:rPr>
                <w:rFonts w:ascii="仿宋" w:hAnsi="仿宋" w:eastAsia="仿宋"/>
                <w:b/>
                <w:szCs w:val="21"/>
              </w:rPr>
              <w:t>基数</w:t>
            </w:r>
            <w:r>
              <w:rPr>
                <w:rFonts w:hint="eastAsia" w:ascii="仿宋" w:hAnsi="仿宋" w:eastAsia="仿宋"/>
                <w:b/>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超额</w:t>
            </w:r>
            <w:r>
              <w:rPr>
                <w:rFonts w:ascii="仿宋" w:hAnsi="仿宋" w:eastAsia="仿宋"/>
                <w:b/>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A份额超额管理费计提基准为</w:t>
            </w:r>
            <w:r>
              <w:rPr>
                <w:rFonts w:ascii="仿宋" w:hAnsi="仿宋" w:eastAsia="仿宋" w:cs="Cambria"/>
                <w:b/>
                <w:szCs w:val="21"/>
              </w:rPr>
              <w:t>4.00%</w:t>
            </w:r>
            <w:r>
              <w:rPr>
                <w:rFonts w:hint="eastAsia" w:ascii="仿宋" w:hAnsi="仿宋" w:eastAsia="仿宋" w:cs="Cambria"/>
                <w:b/>
                <w:szCs w:val="21"/>
              </w:rPr>
              <w:t>（年化）；B份额超额管理费计提基准为</w:t>
            </w:r>
            <w:r>
              <w:rPr>
                <w:rFonts w:ascii="仿宋" w:hAnsi="仿宋" w:eastAsia="仿宋" w:cs="Cambria"/>
                <w:b/>
                <w:szCs w:val="21"/>
              </w:rPr>
              <w:t>3.</w:t>
            </w:r>
            <w:r>
              <w:rPr>
                <w:rFonts w:hint="eastAsia" w:ascii="仿宋" w:hAnsi="仿宋" w:eastAsia="仿宋" w:cs="Cambria"/>
                <w:b/>
                <w:szCs w:val="21"/>
                <w:lang w:val="en-US" w:eastAsia="zh-CN"/>
              </w:rPr>
              <w:t>8</w:t>
            </w:r>
            <w:r>
              <w:rPr>
                <w:rFonts w:ascii="仿宋" w:hAnsi="仿宋" w:eastAsia="仿宋" w:cs="Cambria"/>
                <w:b/>
                <w:szCs w:val="21"/>
              </w:rPr>
              <w:t>5%</w:t>
            </w:r>
            <w:r>
              <w:rPr>
                <w:rFonts w:hint="eastAsia" w:ascii="仿宋" w:hAnsi="仿宋" w:eastAsia="仿宋" w:cs="Cambria"/>
                <w:b/>
                <w:szCs w:val="21"/>
              </w:rPr>
              <w:t>（年化）。</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本产品超额管理费的计算公式：</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超额管理费=（年化收益率-超额管理费计提基准）×当期持有天数÷365×50%×产品份额×1.0000</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其中：年化收益率=（计提日累计单位净值-1.0000）÷1.0000×365÷当期持有天数。</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“产品份额”为产品份额，若有红利再投时，将剔除红利再投产生份额的影响。</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rFonts w:ascii="仿宋" w:hAnsi="仿宋" w:eastAsia="仿宋"/>
                <w:b/>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
                <w:szCs w:val="21"/>
              </w:rPr>
            </w:pPr>
            <w:r>
              <w:rPr>
                <w:rFonts w:hint="eastAsia" w:ascii="仿宋" w:hAnsi="仿宋" w:eastAsia="仿宋"/>
                <w:b/>
                <w:szCs w:val="21"/>
              </w:rPr>
              <w:t>其他</w:t>
            </w:r>
            <w:r>
              <w:rPr>
                <w:rFonts w:ascii="仿宋" w:hAnsi="仿宋" w:eastAsia="仿宋"/>
                <w:b/>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20"/>
              <w:jc w:val="left"/>
              <w:rPr>
                <w:rFonts w:ascii="仿宋" w:hAnsi="仿宋" w:eastAsia="仿宋"/>
                <w:b/>
                <w:szCs w:val="21"/>
              </w:rPr>
            </w:pPr>
            <w:r>
              <w:rPr>
                <w:rFonts w:hint="eastAsia" w:ascii="仿宋" w:hAnsi="仿宋" w:eastAsia="仿宋"/>
                <w:b/>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4</w:t>
            </w:r>
            <w:r>
              <w:rPr>
                <w:rFonts w:hint="eastAsia" w:ascii="仿宋" w:hAnsi="仿宋" w:eastAsia="仿宋"/>
                <w:bCs/>
                <w:szCs w:val="21"/>
              </w:rPr>
              <w:t>位，小数点后第</w:t>
            </w:r>
            <w:r>
              <w:rPr>
                <w:rFonts w:ascii="仿宋" w:hAnsi="仿宋" w:eastAsia="仿宋"/>
                <w:bCs/>
                <w:szCs w:val="21"/>
              </w:rPr>
              <w:t>5</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kern w:val="0"/>
              </w:rPr>
            </w:pPr>
            <w:r>
              <w:rPr>
                <w:rFonts w:hint="eastAsia" w:ascii="仿宋" w:hAnsi="仿宋" w:eastAsia="仿宋"/>
                <w:bCs/>
                <w:szCs w:val="21"/>
              </w:rPr>
              <w:t>本理财产品</w:t>
            </w:r>
            <w:r>
              <w:rPr>
                <w:rFonts w:ascii="仿宋" w:hAnsi="仿宋" w:eastAsia="仿宋"/>
                <w:bCs/>
                <w:szCs w:val="21"/>
              </w:rPr>
              <w:t>不分红</w:t>
            </w:r>
            <w:r>
              <w:rPr>
                <w:rFonts w:hint="eastAsia" w:ascii="仿宋" w:hAnsi="仿宋" w:eastAsia="仿宋" w:cs="Cambria"/>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Cs/>
                <w:szCs w:val="21"/>
              </w:rPr>
            </w:pPr>
            <w:r>
              <w:rPr>
                <w:rFonts w:hint="eastAsia" w:ascii="仿宋" w:hAnsi="仿宋" w:eastAsia="仿宋" w:cs="Cambria"/>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jc w:val="left"/>
              <w:rPr>
                <w:rFonts w:ascii="仿宋" w:hAnsi="仿宋" w:eastAsia="仿宋"/>
                <w:bCs/>
                <w:szCs w:val="21"/>
              </w:rPr>
            </w:pPr>
            <w:r>
              <w:rPr>
                <w:rFonts w:hint="eastAsia" w:ascii="仿宋" w:hAnsi="仿宋" w:eastAsia="仿宋" w:cs="Cambria"/>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宋体"/>
                <w:kern w:val="0"/>
                <w:szCs w:val="21"/>
              </w:rP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本产品主要投资于货币市场工具、标准化债权类资产、非标准化债权类资产等固定收益类资产，权益类资产，商品及金融衍生品类资产。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工具包括但不限于银行存款、大额存单、同业存单（CD）、短期融资券、超短期融资券、剩余期限在397天以内（含397天）的债券、期限在一年以内（含一年）的债券回购、期限在一年以内（含一年）的中央银行票据以及中国人民银行、中国银保监会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权益类资产包括但不限于国内依法发行和上市的股票（包括主板、创业板、中小板、科创板以及其他经中国证监会核准上市的股票，包括新股申购、定向增发、大宗交易、询价转让等）、内地与香港股票市场交易互联互通机制允许买卖的香港市场股票，以及股票型、混合型公募证券投资基金等；</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商品类资产包括贵金属和大宗商品等以实物形式存在的商品资产；金融衍生品类资产包括但不限于远期合同、期货合同、互换和期权，以及具有远期合同、期货合同、互换和期权一种或一种以上特征的工具。</w:t>
      </w:r>
    </w:p>
    <w:p>
      <w:pPr>
        <w:widowControl/>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各类资产投资比例如下：</w:t>
      </w:r>
    </w:p>
    <w:tbl>
      <w:tblPr>
        <w:tblStyle w:val="10"/>
        <w:tblW w:w="8336"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85"/>
        <w:gridCol w:w="26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7" w:hRule="atLeast"/>
          <w:tblCellSpacing w:w="0" w:type="dxa"/>
          <w:jc w:val="center"/>
        </w:trPr>
        <w:tc>
          <w:tcPr>
            <w:tcW w:w="5685" w:type="dxa"/>
            <w:vAlign w:val="center"/>
          </w:tcPr>
          <w:p>
            <w:pPr>
              <w:adjustRightInd w:val="0"/>
              <w:snapToGrid w:val="0"/>
              <w:jc w:val="center"/>
              <w:rPr>
                <w:rFonts w:eastAsia="仿宋"/>
                <w:kern w:val="0"/>
                <w:sz w:val="24"/>
              </w:rPr>
            </w:pPr>
            <w:r>
              <w:rPr>
                <w:rFonts w:hint="eastAsia" w:eastAsia="仿宋"/>
                <w:kern w:val="0"/>
                <w:sz w:val="24"/>
              </w:rPr>
              <w:t>资产</w:t>
            </w:r>
            <w:r>
              <w:rPr>
                <w:rFonts w:eastAsia="仿宋"/>
                <w:kern w:val="0"/>
                <w:sz w:val="24"/>
              </w:rPr>
              <w:t>类别</w:t>
            </w:r>
          </w:p>
        </w:tc>
        <w:tc>
          <w:tcPr>
            <w:tcW w:w="2651" w:type="dxa"/>
            <w:vAlign w:val="center"/>
          </w:tcPr>
          <w:p>
            <w:pPr>
              <w:adjustRightInd w:val="0"/>
              <w:snapToGrid w:val="0"/>
              <w:jc w:val="center"/>
              <w:rPr>
                <w:rFonts w:eastAsia="仿宋"/>
                <w:kern w:val="0"/>
                <w:sz w:val="24"/>
              </w:rPr>
            </w:pPr>
            <w:r>
              <w:rPr>
                <w:rFonts w:eastAsia="仿宋"/>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7" w:hRule="atLeast"/>
          <w:tblCellSpacing w:w="0" w:type="dxa"/>
          <w:jc w:val="center"/>
        </w:trPr>
        <w:tc>
          <w:tcPr>
            <w:tcW w:w="5685" w:type="dxa"/>
            <w:vAlign w:val="center"/>
          </w:tcPr>
          <w:p>
            <w:pPr>
              <w:adjustRightInd w:val="0"/>
              <w:snapToGrid w:val="0"/>
              <w:spacing w:line="288" w:lineRule="auto"/>
              <w:jc w:val="center"/>
              <w:rPr>
                <w:rFonts w:eastAsia="仿宋"/>
                <w:kern w:val="0"/>
                <w:sz w:val="24"/>
              </w:rPr>
            </w:pPr>
            <w:r>
              <w:rPr>
                <w:rFonts w:hint="eastAsia" w:ascii="仿宋" w:hAnsi="仿宋" w:eastAsia="仿宋" w:cs="宋体"/>
                <w:color w:val="000000"/>
                <w:kern w:val="0"/>
                <w:sz w:val="24"/>
              </w:rPr>
              <w:t>固定收益类</w:t>
            </w:r>
          </w:p>
        </w:tc>
        <w:tc>
          <w:tcPr>
            <w:tcW w:w="2651" w:type="dxa"/>
            <w:vAlign w:val="center"/>
          </w:tcPr>
          <w:p>
            <w:pPr>
              <w:adjustRightInd w:val="0"/>
              <w:snapToGrid w:val="0"/>
              <w:spacing w:line="288" w:lineRule="auto"/>
              <w:jc w:val="center"/>
              <w:rPr>
                <w:kern w:val="0"/>
                <w:sz w:val="24"/>
              </w:rPr>
            </w:pPr>
            <w:r>
              <w:rPr>
                <w:rFonts w:ascii="仿宋" w:hAnsi="仿宋" w:eastAsia="仿宋" w:cs="宋体"/>
                <w:color w:val="000000"/>
                <w:kern w:val="0"/>
                <w:sz w:val="24"/>
              </w:rPr>
              <w:t>95</w:t>
            </w:r>
            <w:r>
              <w:rPr>
                <w:rFonts w:hint="eastAsia" w:ascii="仿宋" w:hAnsi="仿宋" w:eastAsia="仿宋" w:cs="宋体"/>
                <w:color w:val="000000"/>
                <w:kern w:val="0"/>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11" w:hRule="atLeast"/>
          <w:tblCellSpacing w:w="0" w:type="dxa"/>
          <w:jc w:val="center"/>
        </w:trPr>
        <w:tc>
          <w:tcPr>
            <w:tcW w:w="5685" w:type="dxa"/>
            <w:vAlign w:val="center"/>
          </w:tcPr>
          <w:p>
            <w:pPr>
              <w:adjustRightInd w:val="0"/>
              <w:snapToGrid w:val="0"/>
              <w:spacing w:line="288" w:lineRule="auto"/>
              <w:jc w:val="center"/>
              <w:rPr>
                <w:rFonts w:ascii="仿宋" w:hAnsi="仿宋" w:eastAsia="仿宋" w:cs="宋体"/>
                <w:color w:val="000000"/>
                <w:kern w:val="0"/>
                <w:sz w:val="24"/>
              </w:rPr>
            </w:pPr>
            <w:r>
              <w:rPr>
                <w:rFonts w:hint="eastAsia" w:ascii="仿宋" w:hAnsi="仿宋" w:eastAsia="仿宋" w:cs="宋体"/>
                <w:color w:val="000000"/>
                <w:kern w:val="0"/>
                <w:sz w:val="24"/>
              </w:rPr>
              <w:t>权益类</w:t>
            </w:r>
          </w:p>
          <w:p>
            <w:pPr>
              <w:adjustRightInd w:val="0"/>
              <w:snapToGrid w:val="0"/>
              <w:spacing w:line="288" w:lineRule="auto"/>
              <w:jc w:val="center"/>
              <w:rPr>
                <w:rFonts w:ascii="仿宋" w:hAnsi="仿宋" w:eastAsia="仿宋" w:cs="宋体"/>
                <w:color w:val="000000"/>
                <w:kern w:val="0"/>
                <w:sz w:val="24"/>
              </w:rPr>
            </w:pPr>
            <w:r>
              <w:rPr>
                <w:rFonts w:hint="eastAsia" w:ascii="仿宋" w:hAnsi="仿宋" w:eastAsia="仿宋" w:cs="宋体"/>
                <w:color w:val="000000"/>
                <w:kern w:val="0"/>
                <w:sz w:val="24"/>
              </w:rPr>
              <w:t>商品及金融衍生品类</w:t>
            </w:r>
          </w:p>
          <w:p>
            <w:pPr>
              <w:adjustRightInd w:val="0"/>
              <w:snapToGrid w:val="0"/>
              <w:spacing w:line="288" w:lineRule="auto"/>
              <w:jc w:val="center"/>
              <w:rPr>
                <w:rFonts w:eastAsia="仿宋"/>
                <w:kern w:val="0"/>
                <w:sz w:val="24"/>
              </w:rPr>
            </w:pPr>
            <w:r>
              <w:rPr>
                <w:rFonts w:hint="eastAsia" w:ascii="仿宋" w:hAnsi="仿宋" w:eastAsia="仿宋" w:cs="宋体"/>
                <w:color w:val="000000"/>
                <w:kern w:val="0"/>
                <w:sz w:val="24"/>
              </w:rPr>
              <w:t>（商品及金融衍生品类资产投资须符合监管要求）</w:t>
            </w:r>
          </w:p>
        </w:tc>
        <w:tc>
          <w:tcPr>
            <w:tcW w:w="2651" w:type="dxa"/>
            <w:vAlign w:val="center"/>
          </w:tcPr>
          <w:p>
            <w:pPr>
              <w:adjustRightInd w:val="0"/>
              <w:snapToGrid w:val="0"/>
              <w:spacing w:line="288" w:lineRule="auto"/>
              <w:jc w:val="center"/>
              <w:rPr>
                <w:kern w:val="0"/>
                <w:sz w:val="24"/>
              </w:rPr>
            </w:pPr>
            <w:r>
              <w:rPr>
                <w:rFonts w:hint="eastAsia" w:ascii="仿宋" w:hAnsi="仿宋" w:eastAsia="仿宋" w:cs="宋体"/>
                <w:color w:val="000000"/>
                <w:kern w:val="0"/>
                <w:sz w:val="24"/>
              </w:rPr>
              <w:t>0%-</w:t>
            </w:r>
            <w:r>
              <w:rPr>
                <w:rFonts w:ascii="仿宋" w:hAnsi="仿宋" w:eastAsia="仿宋" w:cs="宋体"/>
                <w:color w:val="000000"/>
                <w:kern w:val="0"/>
                <w:sz w:val="24"/>
              </w:rPr>
              <w:t>5</w:t>
            </w:r>
            <w:r>
              <w:rPr>
                <w:rFonts w:hint="eastAsia" w:ascii="仿宋" w:hAnsi="仿宋" w:eastAsia="仿宋" w:cs="宋体"/>
                <w:color w:val="000000"/>
                <w:kern w:val="0"/>
                <w:sz w:val="24"/>
              </w:rPr>
              <w:t>%</w:t>
            </w:r>
          </w:p>
        </w:tc>
      </w:tr>
    </w:tbl>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kern w:val="0"/>
          <w:sz w:val="24"/>
        </w:rPr>
        <w:t>本理财产品可以按照监管部门相关规定开展回购业务。</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本理财产品如投资不存在活跃交易市场且需要采用估值技术确定公允价值的资产，则对</w:t>
      </w:r>
      <w:r>
        <w:rPr>
          <w:rFonts w:ascii="仿宋" w:hAnsi="仿宋" w:eastAsia="仿宋" w:cs="宋体"/>
          <w:b/>
          <w:bCs/>
          <w:color w:val="000000"/>
          <w:kern w:val="0"/>
          <w:sz w:val="24"/>
        </w:rPr>
        <w:t>上述资产的投资</w:t>
      </w:r>
      <w:r>
        <w:rPr>
          <w:rFonts w:hint="eastAsia" w:ascii="仿宋" w:hAnsi="仿宋" w:eastAsia="仿宋" w:cs="宋体"/>
          <w:b/>
          <w:bCs/>
          <w:color w:val="000000"/>
          <w:kern w:val="0"/>
          <w:sz w:val="24"/>
        </w:rPr>
        <w:t>比例将不超过本产品净资产的50%。非因管理人主观因素导致突破前款约定的比例限制的，</w:t>
      </w:r>
      <w:r>
        <w:rPr>
          <w:rFonts w:ascii="仿宋" w:hAnsi="仿宋" w:eastAsia="仿宋" w:cs="宋体"/>
          <w:b/>
          <w:bCs/>
          <w:color w:val="000000"/>
          <w:kern w:val="0"/>
          <w:sz w:val="24"/>
        </w:rPr>
        <w:t>在上述因素</w:t>
      </w:r>
      <w:r>
        <w:rPr>
          <w:rFonts w:hint="eastAsia" w:ascii="仿宋" w:hAnsi="仿宋" w:eastAsia="仿宋" w:cs="宋体"/>
          <w:b/>
          <w:bCs/>
          <w:color w:val="000000"/>
          <w:kern w:val="0"/>
          <w:sz w:val="24"/>
        </w:rPr>
        <w:t>的</w:t>
      </w:r>
      <w:r>
        <w:rPr>
          <w:rFonts w:ascii="仿宋" w:hAnsi="仿宋" w:eastAsia="仿宋" w:cs="宋体"/>
          <w:b/>
          <w:bCs/>
          <w:color w:val="000000"/>
          <w:kern w:val="0"/>
          <w:sz w:val="24"/>
        </w:rPr>
        <w:t>影响消除前</w:t>
      </w:r>
      <w:r>
        <w:rPr>
          <w:rFonts w:hint="eastAsia" w:ascii="仿宋" w:hAnsi="仿宋" w:eastAsia="仿宋" w:cs="宋体"/>
          <w:b/>
          <w:bCs/>
          <w:color w:val="000000"/>
          <w:kern w:val="0"/>
          <w:sz w:val="24"/>
        </w:rPr>
        <w:t>本产品将不再新增投资上述资产。</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w:t>
      </w:r>
      <w:r>
        <w:rPr>
          <w:rFonts w:ascii="仿宋" w:hAnsi="仿宋" w:eastAsia="仿宋" w:cs="宋体"/>
          <w:b/>
          <w:bCs/>
          <w:kern w:val="0"/>
          <w:sz w:val="24"/>
        </w:rPr>
        <w:t>3</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1"/>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w:t>
      </w:r>
      <w:r>
        <w:rPr>
          <w:rFonts w:ascii="仿宋" w:hAnsi="仿宋" w:eastAsia="仿宋"/>
          <w:color w:val="auto"/>
        </w:rPr>
        <w:t>本</w:t>
      </w:r>
      <w:r>
        <w:rPr>
          <w:rFonts w:hint="eastAsia" w:ascii="仿宋" w:hAnsi="仿宋" w:eastAsia="仿宋"/>
          <w:color w:val="auto"/>
        </w:rPr>
        <w:t>理财</w:t>
      </w:r>
      <w:r>
        <w:rPr>
          <w:rFonts w:ascii="仿宋" w:hAnsi="仿宋" w:eastAsia="仿宋"/>
          <w:color w:val="auto"/>
        </w:rPr>
        <w:t>产品管理人为华夏理财有限责任公司。</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w:t>
      </w:r>
      <w:r>
        <w:rPr>
          <w:rFonts w:ascii="仿宋" w:hAnsi="仿宋" w:eastAsia="仿宋"/>
          <w:color w:val="auto"/>
        </w:rPr>
        <w:t>本理财产品</w:t>
      </w:r>
      <w:r>
        <w:rPr>
          <w:rFonts w:hint="eastAsia" w:ascii="仿宋" w:hAnsi="仿宋" w:eastAsia="仿宋"/>
          <w:color w:val="auto"/>
        </w:rPr>
        <w:t>托管人为华夏银行股份有限公司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 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2" w:firstLineChars="200"/>
        <w:contextualSpacing/>
        <w:outlineLvl w:val="1"/>
        <w:rPr>
          <w:rFonts w:ascii="仿宋" w:hAnsi="仿宋" w:eastAsia="仿宋" w:cs="宋体"/>
          <w:b/>
          <w:bCs/>
          <w:kern w:val="0"/>
          <w:sz w:val="24"/>
        </w:rPr>
      </w:pPr>
      <w:r>
        <w:rPr>
          <w:rFonts w:hint="eastAsia" w:ascii="仿宋" w:hAnsi="仿宋" w:eastAsia="仿宋" w:cs="宋体"/>
          <w:b/>
          <w:bCs/>
          <w:kern w:val="0"/>
          <w:sz w:val="24"/>
        </w:rPr>
        <w:t>3.拒绝或暂停认购的情形</w:t>
      </w:r>
    </w:p>
    <w:p>
      <w:pPr>
        <w:autoSpaceDE w:val="0"/>
        <w:autoSpaceDN w:val="0"/>
        <w:adjustRightInd w:val="0"/>
        <w:snapToGrid w:val="0"/>
        <w:spacing w:line="276" w:lineRule="auto"/>
        <w:ind w:firstLine="482" w:firstLineChars="200"/>
        <w:contextualSpacing/>
        <w:outlineLvl w:val="1"/>
        <w:rPr>
          <w:rFonts w:ascii="仿宋" w:hAnsi="仿宋" w:eastAsia="仿宋" w:cs="宋体"/>
          <w:b/>
          <w:bCs/>
          <w:kern w:val="0"/>
          <w:sz w:val="24"/>
        </w:rPr>
      </w:pPr>
      <w:r>
        <w:rPr>
          <w:rFonts w:hint="eastAsia" w:ascii="仿宋" w:hAnsi="仿宋" w:eastAsia="仿宋" w:cs="宋体"/>
          <w:b/>
          <w:bCs/>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可以采取认购风险应对措施，拒绝或暂停接受认购申请：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widowControl/>
        <w:adjustRightInd w:val="0"/>
        <w:snapToGrid w:val="0"/>
        <w:spacing w:line="276" w:lineRule="auto"/>
        <w:ind w:firstLine="480" w:firstLineChars="200"/>
        <w:contextualSpacing/>
        <w:rPr>
          <w:rFonts w:ascii="仿宋" w:hAnsi="仿宋" w:eastAsia="仿宋"/>
        </w:rPr>
      </w:pPr>
      <w:r>
        <w:rPr>
          <w:rFonts w:hint="eastAsia" w:ascii="仿宋" w:hAnsi="仿宋" w:eastAsia="仿宋" w:cs="宋体"/>
          <w:color w:val="000000"/>
          <w:kern w:val="0"/>
          <w:sz w:val="24"/>
        </w:rPr>
        <w:t>如果投资人的认购申请被全部或部分拒绝的，被拒绝的认购款项将退还给投资人。在暂停认购的情况消除时，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w:t>
      </w:r>
      <w:r>
        <w:rPr>
          <w:rFonts w:hint="eastAsia" w:ascii="仿宋" w:hAnsi="仿宋" w:eastAsia="仿宋" w:cs="仿宋"/>
          <w:sz w:val="24"/>
        </w:rPr>
        <w:t>06</w:t>
      </w:r>
      <w:r>
        <w:rPr>
          <w:rFonts w:ascii="仿宋" w:hAnsi="仿宋" w:eastAsia="仿宋" w:cs="仿宋"/>
          <w:sz w:val="24"/>
        </w:rPr>
        <w:t>00</w:t>
      </w:r>
      <w:r>
        <w:rPr>
          <w:rFonts w:hint="eastAsia" w:ascii="仿宋" w:hAnsi="仿宋" w:eastAsia="仿宋" w:cs="仿宋"/>
          <w:sz w:val="24"/>
        </w:rPr>
        <w:t>，客户到期获得的金额为：</w:t>
      </w:r>
      <w:r>
        <w:rPr>
          <w:rFonts w:ascii="仿宋" w:hAnsi="仿宋" w:eastAsia="仿宋" w:cs="仿宋"/>
          <w:sz w:val="24"/>
        </w:rPr>
        <w:t>100,000*1.</w:t>
      </w:r>
      <w:r>
        <w:rPr>
          <w:rFonts w:hint="eastAsia" w:ascii="仿宋" w:hAnsi="仿宋" w:eastAsia="仿宋" w:cs="仿宋"/>
          <w:sz w:val="24"/>
        </w:rPr>
        <w:t>06</w:t>
      </w:r>
      <w:r>
        <w:rPr>
          <w:rFonts w:ascii="仿宋" w:hAnsi="仿宋" w:eastAsia="仿宋" w:cs="仿宋"/>
          <w:sz w:val="24"/>
        </w:rPr>
        <w:t>00=1</w:t>
      </w:r>
      <w:r>
        <w:rPr>
          <w:rFonts w:hint="eastAsia" w:ascii="仿宋" w:hAnsi="仿宋" w:eastAsia="仿宋" w:cs="仿宋"/>
          <w:sz w:val="24"/>
        </w:rPr>
        <w:t>06</w:t>
      </w:r>
      <w:r>
        <w:rPr>
          <w:rFonts w:ascii="仿宋" w:hAnsi="仿宋" w:eastAsia="仿宋" w:cs="仿宋"/>
          <w:sz w:val="24"/>
        </w:rPr>
        <w:t>,000.00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本理财产品所投资的银行存款、货币市场工具、债券等标准化债权类资产、非标准化债权类资产、权益类资产以及资产管理产品等资产。</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1"/>
        <w:snapToGrid w:val="0"/>
        <w:spacing w:line="276" w:lineRule="auto"/>
        <w:ind w:firstLine="482" w:firstLineChars="200"/>
        <w:contextualSpacing/>
        <w:rPr>
          <w:rFonts w:ascii="仿宋" w:hAnsi="仿宋" w:eastAsia="仿宋"/>
          <w:b/>
          <w:color w:val="auto"/>
        </w:rPr>
      </w:pPr>
      <w:r>
        <w:rPr>
          <w:rFonts w:hint="eastAsia" w:ascii="仿宋" w:hAnsi="仿宋" w:eastAsia="仿宋"/>
          <w:b/>
          <w:color w:val="auto"/>
        </w:rPr>
        <w:t>以摊余成本法计量的资产：</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固定收益类资产在符合《企业会计准则》及相关法律法规情况下采用摊余成本法估值，同时以预期信用损失为基础进行减值会计处理并确认损失准备。如有确凿证据表明该资产按原有摊余成本法估值不能客观反映上述资产或负债于封闭期到期日的公允价值的，管理人可根据具体情况，</w:t>
      </w:r>
      <w:r>
        <w:rPr>
          <w:rFonts w:ascii="仿宋" w:hAnsi="仿宋" w:eastAsia="仿宋"/>
          <w:color w:val="auto"/>
        </w:rPr>
        <w:t>在</w:t>
      </w:r>
      <w:r>
        <w:rPr>
          <w:rFonts w:hint="eastAsia" w:ascii="仿宋" w:hAnsi="仿宋" w:eastAsia="仿宋"/>
          <w:color w:val="auto"/>
        </w:rPr>
        <w:t>与托管人商定后，按最能反映上述资产或负债于封闭期到期日的公允价值的方法估值。为最大限度保护投资者利益，管理人可采用的风险控制手段包括但不限于：处置信用风险显著增加的固定收益品种、及时评估和计提固定收益品种减值损失、于封闭期到期日改</w:t>
      </w:r>
      <w:r>
        <w:rPr>
          <w:rFonts w:hint="eastAsia" w:ascii="仿宋" w:hAnsi="仿宋" w:eastAsia="仿宋"/>
          <w:color w:val="auto"/>
          <w:lang w:val="en-US" w:eastAsia="zh-CN"/>
        </w:rPr>
        <w:t>为</w:t>
      </w:r>
      <w:r>
        <w:rPr>
          <w:rFonts w:hint="eastAsia" w:ascii="仿宋" w:hAnsi="仿宋" w:eastAsia="仿宋"/>
          <w:color w:val="auto"/>
        </w:rPr>
        <w:t>按公允价值计算理财</w:t>
      </w:r>
      <w:r>
        <w:rPr>
          <w:rFonts w:ascii="仿宋" w:hAnsi="仿宋" w:eastAsia="仿宋"/>
          <w:color w:val="auto"/>
        </w:rPr>
        <w:t>产品</w:t>
      </w:r>
      <w:r>
        <w:rPr>
          <w:rFonts w:hint="eastAsia" w:ascii="仿宋" w:hAnsi="仿宋" w:eastAsia="仿宋"/>
          <w:color w:val="auto"/>
        </w:rPr>
        <w:t>份额净值等。</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不符合上述条件，并以出售为目的的固定收益类资产以公允价值计量且其变动计入当期损益。</w:t>
      </w:r>
    </w:p>
    <w:p>
      <w:pPr>
        <w:pStyle w:val="11"/>
        <w:snapToGrid w:val="0"/>
        <w:spacing w:line="276" w:lineRule="auto"/>
        <w:ind w:firstLine="482" w:firstLineChars="200"/>
        <w:contextualSpacing/>
        <w:rPr>
          <w:rFonts w:ascii="仿宋" w:hAnsi="仿宋" w:eastAsia="仿宋"/>
          <w:color w:val="auto"/>
        </w:rPr>
      </w:pPr>
      <w:r>
        <w:rPr>
          <w:rFonts w:hint="eastAsia" w:ascii="仿宋" w:hAnsi="仿宋" w:eastAsia="仿宋"/>
          <w:b/>
          <w:color w:val="auto"/>
          <w:lang w:val="en-US" w:eastAsia="zh-CN"/>
        </w:rPr>
        <w:t>非</w:t>
      </w:r>
      <w:r>
        <w:rPr>
          <w:rFonts w:hint="eastAsia" w:ascii="仿宋" w:hAnsi="仿宋" w:eastAsia="仿宋"/>
          <w:b/>
          <w:color w:val="auto"/>
        </w:rPr>
        <w:t>摊余成本法</w:t>
      </w:r>
      <w:r>
        <w:rPr>
          <w:rFonts w:hint="eastAsia" w:ascii="仿宋" w:hAnsi="仿宋" w:eastAsia="仿宋"/>
          <w:b/>
          <w:color w:val="auto"/>
          <w:lang w:val="en-US" w:eastAsia="zh-CN"/>
        </w:rPr>
        <w:t>计量</w:t>
      </w:r>
      <w:r>
        <w:rPr>
          <w:rFonts w:hint="eastAsia" w:ascii="仿宋" w:hAnsi="仿宋" w:eastAsia="仿宋"/>
          <w:b/>
          <w:color w:val="auto"/>
        </w:rPr>
        <w:t>的资产：</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1"/>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1"/>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1"/>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1"/>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的影响。在最不利的情况下，理财产品到期/终止时投资者可能无法获得理财产品投资收益，甚至损失全部理财本金，由此产生的风险由投资者自行承担。</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投资者无权随时提前赎回</w:t>
      </w:r>
      <w:r>
        <w:rPr>
          <w:rFonts w:hint="eastAsia" w:ascii="Times New Roman" w:eastAsia="黑体" w:cs="Times New Roman"/>
          <w:b/>
          <w:color w:val="auto"/>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（十）延期风险：</w:t>
      </w:r>
      <w:r>
        <w:rPr>
          <w:rFonts w:ascii="Times New Roman" w:eastAsia="黑体" w:cs="Times New Roman"/>
          <w:b/>
          <w:color w:val="auto"/>
        </w:rPr>
        <w:t>如因与理财产品投资资产相关的</w:t>
      </w:r>
      <w:r>
        <w:rPr>
          <w:rFonts w:hint="eastAsia" w:ascii="Times New Roman" w:eastAsia="黑体" w:cs="Times New Roman"/>
          <w:b/>
          <w:color w:val="auto"/>
        </w:rPr>
        <w:t>资产管理计划管理人、</w:t>
      </w:r>
      <w:r>
        <w:rPr>
          <w:rFonts w:ascii="Times New Roman" w:eastAsia="黑体" w:cs="Times New Roman"/>
          <w:b/>
          <w:color w:val="auto"/>
        </w:rPr>
        <w:t>信托受托人、债务人、担保人（如有）等主体发生违约，导致本理财产品不能按时偿</w:t>
      </w:r>
      <w:r>
        <w:rPr>
          <w:rFonts w:hint="eastAsia" w:ascii="Times New Roman" w:eastAsia="黑体" w:cs="Times New Roman"/>
          <w:b/>
          <w:color w:val="auto"/>
        </w:rPr>
        <w:t>付</w:t>
      </w:r>
      <w:r>
        <w:rPr>
          <w:rFonts w:ascii="Times New Roman" w:eastAsia="黑体" w:cs="Times New Roman"/>
          <w:b/>
          <w:color w:val="auto"/>
        </w:rPr>
        <w:t>理财本金及收益</w:t>
      </w:r>
      <w:r>
        <w:rPr>
          <w:rFonts w:hint="eastAsia" w:ascii="Times New Roman" w:eastAsia="黑体" w:cs="Times New Roman"/>
          <w:b/>
          <w:color w:val="auto"/>
        </w:rPr>
        <w:t>；或因市场成交量不足、资产限制赎回、暂停交易、缺乏意愿交易对手等原因，管理人未能及时完成资产变现，则本</w:t>
      </w:r>
      <w:r>
        <w:rPr>
          <w:rFonts w:ascii="Times New Roman" w:eastAsia="黑体" w:cs="Times New Roman"/>
          <w:b/>
          <w:color w:val="auto"/>
        </w:rPr>
        <w:t>理财</w:t>
      </w:r>
      <w:r>
        <w:rPr>
          <w:rFonts w:hint="eastAsia" w:ascii="Times New Roman" w:eastAsia="黑体" w:cs="Times New Roman"/>
          <w:b/>
          <w:color w:val="auto"/>
        </w:rPr>
        <w:t>产品</w:t>
      </w:r>
      <w:r>
        <w:rPr>
          <w:rFonts w:ascii="Times New Roman" w:eastAsia="黑体" w:cs="Times New Roman"/>
          <w:b/>
          <w:color w:val="auto"/>
        </w:rPr>
        <w:t>期限将相应延长。</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（十三）拟投资市场及资产的流动性风险评估</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（十四）流动性应对措施及对投资者的潜在影响</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当管理人实施流动性应对措施时，可能对投资者具有一定的潜在影响，包括但不限于不能认购本理财产品、认购交易确认失败等。</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或非华夏理财原因发生的计算机系统故障、网络故障、通讯故障、电力故障等导致理财产品所投资资产收益降低或损失，甚至影响理财产品的受理、投资、偿还等的正常进行，进而影响理财产品的投资收益和本金安全。</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autoSpaceDE w:val="0"/>
        <w:autoSpaceDN w:val="0"/>
        <w:adjustRightInd w:val="0"/>
        <w:snapToGrid w:val="0"/>
        <w:spacing w:line="276" w:lineRule="auto"/>
        <w:ind w:firstLine="480" w:firstLineChars="200"/>
        <w:contextualSpacing/>
        <w:rPr>
          <w:b/>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kern w:val="0"/>
          <w:sz w:val="24"/>
        </w:rPr>
        <w:t>在本</w:t>
      </w:r>
      <w:r>
        <w:rPr>
          <w:rFonts w:hint="eastAsia" w:ascii="仿宋" w:hAnsi="仿宋" w:eastAsia="仿宋" w:cs="宋体"/>
          <w:b/>
          <w:bCs/>
          <w:kern w:val="0"/>
          <w:sz w:val="24"/>
        </w:rPr>
        <w:t>理财</w:t>
      </w:r>
      <w:r>
        <w:rPr>
          <w:rFonts w:ascii="仿宋" w:hAnsi="仿宋" w:eastAsia="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eastAsia" w:ascii="仿宋" w:hAnsi="仿宋" w:eastAsia="仿宋" w:cs="宋体"/>
          <w:b/>
          <w:bCs/>
          <w:kern w:val="0"/>
          <w:sz w:val="24"/>
        </w:rPr>
        <w:t>华夏理财有限责任公司官方网站（www.hxwm.com.cn）、</w:t>
      </w:r>
      <w:r>
        <w:rPr>
          <w:rFonts w:ascii="仿宋" w:hAnsi="仿宋" w:eastAsia="仿宋" w:cs="宋体"/>
          <w:b/>
          <w:bCs/>
          <w:kern w:val="0"/>
          <w:sz w:val="24"/>
        </w:rPr>
        <w:t>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righ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3D0255"/>
    <w:rsid w:val="00001C1B"/>
    <w:rsid w:val="000028AE"/>
    <w:rsid w:val="00013C4E"/>
    <w:rsid w:val="000161B5"/>
    <w:rsid w:val="00021827"/>
    <w:rsid w:val="00025F33"/>
    <w:rsid w:val="00033110"/>
    <w:rsid w:val="000431D6"/>
    <w:rsid w:val="00056226"/>
    <w:rsid w:val="00063AA0"/>
    <w:rsid w:val="00066824"/>
    <w:rsid w:val="00096678"/>
    <w:rsid w:val="000A088E"/>
    <w:rsid w:val="000B0F79"/>
    <w:rsid w:val="000C03A9"/>
    <w:rsid w:val="000D0355"/>
    <w:rsid w:val="000F06E2"/>
    <w:rsid w:val="000F0814"/>
    <w:rsid w:val="00103712"/>
    <w:rsid w:val="00123A40"/>
    <w:rsid w:val="00133FA8"/>
    <w:rsid w:val="0013677C"/>
    <w:rsid w:val="00165B63"/>
    <w:rsid w:val="0017498E"/>
    <w:rsid w:val="00183EA3"/>
    <w:rsid w:val="00186079"/>
    <w:rsid w:val="00190BB4"/>
    <w:rsid w:val="001D2415"/>
    <w:rsid w:val="001E1606"/>
    <w:rsid w:val="001E41AD"/>
    <w:rsid w:val="001E6023"/>
    <w:rsid w:val="001F7D2D"/>
    <w:rsid w:val="00215C06"/>
    <w:rsid w:val="002318DF"/>
    <w:rsid w:val="00244A8F"/>
    <w:rsid w:val="002553C2"/>
    <w:rsid w:val="00257913"/>
    <w:rsid w:val="00257999"/>
    <w:rsid w:val="00257E16"/>
    <w:rsid w:val="00262B55"/>
    <w:rsid w:val="00280398"/>
    <w:rsid w:val="002960B6"/>
    <w:rsid w:val="002A05D2"/>
    <w:rsid w:val="002B2BDD"/>
    <w:rsid w:val="002F6B80"/>
    <w:rsid w:val="00305047"/>
    <w:rsid w:val="00316AFC"/>
    <w:rsid w:val="00322620"/>
    <w:rsid w:val="003243A1"/>
    <w:rsid w:val="00333AEC"/>
    <w:rsid w:val="0033431D"/>
    <w:rsid w:val="00344E4C"/>
    <w:rsid w:val="003536CA"/>
    <w:rsid w:val="003750FE"/>
    <w:rsid w:val="00380E25"/>
    <w:rsid w:val="00382196"/>
    <w:rsid w:val="00383192"/>
    <w:rsid w:val="00386DF5"/>
    <w:rsid w:val="00387828"/>
    <w:rsid w:val="003C19A7"/>
    <w:rsid w:val="003C47F9"/>
    <w:rsid w:val="003C561D"/>
    <w:rsid w:val="003C737C"/>
    <w:rsid w:val="003D0255"/>
    <w:rsid w:val="003D1B1D"/>
    <w:rsid w:val="003D7791"/>
    <w:rsid w:val="003E19F9"/>
    <w:rsid w:val="003F0CFC"/>
    <w:rsid w:val="00400CDC"/>
    <w:rsid w:val="004128C5"/>
    <w:rsid w:val="00420E68"/>
    <w:rsid w:val="00443D10"/>
    <w:rsid w:val="00482583"/>
    <w:rsid w:val="0048600F"/>
    <w:rsid w:val="004A2CEA"/>
    <w:rsid w:val="004B3C7D"/>
    <w:rsid w:val="004C7E7D"/>
    <w:rsid w:val="004D72E5"/>
    <w:rsid w:val="004E7458"/>
    <w:rsid w:val="004F3054"/>
    <w:rsid w:val="00511A6C"/>
    <w:rsid w:val="00511F92"/>
    <w:rsid w:val="005228EC"/>
    <w:rsid w:val="00541B21"/>
    <w:rsid w:val="005521CA"/>
    <w:rsid w:val="005622E8"/>
    <w:rsid w:val="00587F99"/>
    <w:rsid w:val="005902F0"/>
    <w:rsid w:val="005A1AD3"/>
    <w:rsid w:val="005B0C42"/>
    <w:rsid w:val="005B7E09"/>
    <w:rsid w:val="005D1B39"/>
    <w:rsid w:val="005D5825"/>
    <w:rsid w:val="005E4F8D"/>
    <w:rsid w:val="006030F8"/>
    <w:rsid w:val="00603823"/>
    <w:rsid w:val="00623292"/>
    <w:rsid w:val="006309B4"/>
    <w:rsid w:val="0064430D"/>
    <w:rsid w:val="006609EB"/>
    <w:rsid w:val="00661DAE"/>
    <w:rsid w:val="00664F8D"/>
    <w:rsid w:val="00665902"/>
    <w:rsid w:val="00695DD6"/>
    <w:rsid w:val="00697279"/>
    <w:rsid w:val="006A3BD2"/>
    <w:rsid w:val="006B7A12"/>
    <w:rsid w:val="006D1929"/>
    <w:rsid w:val="006D5CC0"/>
    <w:rsid w:val="006D61F9"/>
    <w:rsid w:val="006E465C"/>
    <w:rsid w:val="006E5108"/>
    <w:rsid w:val="006F108E"/>
    <w:rsid w:val="006F7A5D"/>
    <w:rsid w:val="0070057F"/>
    <w:rsid w:val="00712D65"/>
    <w:rsid w:val="00714FA0"/>
    <w:rsid w:val="0073124D"/>
    <w:rsid w:val="00740606"/>
    <w:rsid w:val="0075453D"/>
    <w:rsid w:val="00755C63"/>
    <w:rsid w:val="00757C4D"/>
    <w:rsid w:val="007660D1"/>
    <w:rsid w:val="0077151B"/>
    <w:rsid w:val="0078428F"/>
    <w:rsid w:val="0079392E"/>
    <w:rsid w:val="00794BCC"/>
    <w:rsid w:val="007A782E"/>
    <w:rsid w:val="007B16C0"/>
    <w:rsid w:val="007D7E45"/>
    <w:rsid w:val="007E69F8"/>
    <w:rsid w:val="007F34D2"/>
    <w:rsid w:val="008111D2"/>
    <w:rsid w:val="00813D80"/>
    <w:rsid w:val="008218B0"/>
    <w:rsid w:val="00826EBE"/>
    <w:rsid w:val="0084396D"/>
    <w:rsid w:val="00852297"/>
    <w:rsid w:val="00853BBD"/>
    <w:rsid w:val="0087356D"/>
    <w:rsid w:val="00891BE8"/>
    <w:rsid w:val="008A758D"/>
    <w:rsid w:val="008C587B"/>
    <w:rsid w:val="008C7FC7"/>
    <w:rsid w:val="008D32C9"/>
    <w:rsid w:val="008D4672"/>
    <w:rsid w:val="008E0E7F"/>
    <w:rsid w:val="00904F66"/>
    <w:rsid w:val="0092398B"/>
    <w:rsid w:val="00926B88"/>
    <w:rsid w:val="00933895"/>
    <w:rsid w:val="00940AE1"/>
    <w:rsid w:val="009767AD"/>
    <w:rsid w:val="00991585"/>
    <w:rsid w:val="0099257B"/>
    <w:rsid w:val="009A1572"/>
    <w:rsid w:val="009B30CA"/>
    <w:rsid w:val="009B40CA"/>
    <w:rsid w:val="009B5749"/>
    <w:rsid w:val="009B654D"/>
    <w:rsid w:val="009C25C2"/>
    <w:rsid w:val="009E64E1"/>
    <w:rsid w:val="009F3291"/>
    <w:rsid w:val="00A10AA6"/>
    <w:rsid w:val="00A15763"/>
    <w:rsid w:val="00A23D14"/>
    <w:rsid w:val="00A40B5C"/>
    <w:rsid w:val="00A450DA"/>
    <w:rsid w:val="00A80484"/>
    <w:rsid w:val="00A8540C"/>
    <w:rsid w:val="00AA20BC"/>
    <w:rsid w:val="00AB6C5C"/>
    <w:rsid w:val="00AC051A"/>
    <w:rsid w:val="00AC0C84"/>
    <w:rsid w:val="00AC28C2"/>
    <w:rsid w:val="00AC56CD"/>
    <w:rsid w:val="00AD5773"/>
    <w:rsid w:val="00AE3F67"/>
    <w:rsid w:val="00AE55A6"/>
    <w:rsid w:val="00AF0D6A"/>
    <w:rsid w:val="00AF2148"/>
    <w:rsid w:val="00AF4114"/>
    <w:rsid w:val="00AF79D6"/>
    <w:rsid w:val="00B13FB3"/>
    <w:rsid w:val="00B2549A"/>
    <w:rsid w:val="00B26E45"/>
    <w:rsid w:val="00B2731B"/>
    <w:rsid w:val="00B302D6"/>
    <w:rsid w:val="00B33142"/>
    <w:rsid w:val="00B34C10"/>
    <w:rsid w:val="00B37587"/>
    <w:rsid w:val="00B64A10"/>
    <w:rsid w:val="00B835AA"/>
    <w:rsid w:val="00B86087"/>
    <w:rsid w:val="00B90CDB"/>
    <w:rsid w:val="00B960A6"/>
    <w:rsid w:val="00B97A5C"/>
    <w:rsid w:val="00BC2671"/>
    <w:rsid w:val="00BE486A"/>
    <w:rsid w:val="00BF2EF2"/>
    <w:rsid w:val="00C2501F"/>
    <w:rsid w:val="00C27850"/>
    <w:rsid w:val="00C32BF2"/>
    <w:rsid w:val="00C34C70"/>
    <w:rsid w:val="00C93E30"/>
    <w:rsid w:val="00C9651A"/>
    <w:rsid w:val="00CA72BA"/>
    <w:rsid w:val="00CB300C"/>
    <w:rsid w:val="00CC1C04"/>
    <w:rsid w:val="00CC6613"/>
    <w:rsid w:val="00CD1AC8"/>
    <w:rsid w:val="00CF7FD2"/>
    <w:rsid w:val="00D03E60"/>
    <w:rsid w:val="00D06EC1"/>
    <w:rsid w:val="00D07C3B"/>
    <w:rsid w:val="00D20E48"/>
    <w:rsid w:val="00D54E89"/>
    <w:rsid w:val="00D603CC"/>
    <w:rsid w:val="00D62515"/>
    <w:rsid w:val="00D62EAE"/>
    <w:rsid w:val="00D633D2"/>
    <w:rsid w:val="00D7194A"/>
    <w:rsid w:val="00D74E35"/>
    <w:rsid w:val="00D76D28"/>
    <w:rsid w:val="00D81EE7"/>
    <w:rsid w:val="00D842DC"/>
    <w:rsid w:val="00D92F2F"/>
    <w:rsid w:val="00D96806"/>
    <w:rsid w:val="00DA1051"/>
    <w:rsid w:val="00DB3201"/>
    <w:rsid w:val="00DB6A3F"/>
    <w:rsid w:val="00DC5F87"/>
    <w:rsid w:val="00DE7DB8"/>
    <w:rsid w:val="00DF01F0"/>
    <w:rsid w:val="00E01C5E"/>
    <w:rsid w:val="00E02F1C"/>
    <w:rsid w:val="00E064E3"/>
    <w:rsid w:val="00E32C0D"/>
    <w:rsid w:val="00E4718A"/>
    <w:rsid w:val="00E53D13"/>
    <w:rsid w:val="00E65F0B"/>
    <w:rsid w:val="00E8067C"/>
    <w:rsid w:val="00E91719"/>
    <w:rsid w:val="00E93A95"/>
    <w:rsid w:val="00EA4EFE"/>
    <w:rsid w:val="00EC1941"/>
    <w:rsid w:val="00ED51B9"/>
    <w:rsid w:val="00ED5CA8"/>
    <w:rsid w:val="00EE0EFC"/>
    <w:rsid w:val="00EE4B28"/>
    <w:rsid w:val="00F02D76"/>
    <w:rsid w:val="00F045C3"/>
    <w:rsid w:val="00F05127"/>
    <w:rsid w:val="00F512E9"/>
    <w:rsid w:val="00F54606"/>
    <w:rsid w:val="00F67A6A"/>
    <w:rsid w:val="00F67A9C"/>
    <w:rsid w:val="00F72DB1"/>
    <w:rsid w:val="00F77DC9"/>
    <w:rsid w:val="00F82368"/>
    <w:rsid w:val="00FB10EC"/>
    <w:rsid w:val="00FC0983"/>
    <w:rsid w:val="00FC21F8"/>
    <w:rsid w:val="00FC5EEF"/>
    <w:rsid w:val="00FF5911"/>
    <w:rsid w:val="015E11C2"/>
    <w:rsid w:val="02417756"/>
    <w:rsid w:val="02E40AD0"/>
    <w:rsid w:val="033A4D39"/>
    <w:rsid w:val="034644C7"/>
    <w:rsid w:val="04196F12"/>
    <w:rsid w:val="04435A9E"/>
    <w:rsid w:val="04950991"/>
    <w:rsid w:val="051F1A55"/>
    <w:rsid w:val="05351A10"/>
    <w:rsid w:val="054B7EFA"/>
    <w:rsid w:val="05831998"/>
    <w:rsid w:val="060A409E"/>
    <w:rsid w:val="0610015A"/>
    <w:rsid w:val="066C6455"/>
    <w:rsid w:val="06930C07"/>
    <w:rsid w:val="072859C3"/>
    <w:rsid w:val="07853686"/>
    <w:rsid w:val="07B45D81"/>
    <w:rsid w:val="07C26F1E"/>
    <w:rsid w:val="07C52B3D"/>
    <w:rsid w:val="07D6576F"/>
    <w:rsid w:val="07F1682B"/>
    <w:rsid w:val="08064FC2"/>
    <w:rsid w:val="080D6F41"/>
    <w:rsid w:val="08A87A0E"/>
    <w:rsid w:val="08D300AE"/>
    <w:rsid w:val="09277EEB"/>
    <w:rsid w:val="096506FA"/>
    <w:rsid w:val="0A01440A"/>
    <w:rsid w:val="0A513B0D"/>
    <w:rsid w:val="0A5478A3"/>
    <w:rsid w:val="0D3600BA"/>
    <w:rsid w:val="0DD32259"/>
    <w:rsid w:val="0EF43DB9"/>
    <w:rsid w:val="0F850895"/>
    <w:rsid w:val="102F133E"/>
    <w:rsid w:val="10987645"/>
    <w:rsid w:val="10ED247D"/>
    <w:rsid w:val="110764BF"/>
    <w:rsid w:val="110801C1"/>
    <w:rsid w:val="113A6DA1"/>
    <w:rsid w:val="114758B1"/>
    <w:rsid w:val="119A5652"/>
    <w:rsid w:val="11BA7B51"/>
    <w:rsid w:val="120F1E2C"/>
    <w:rsid w:val="12540566"/>
    <w:rsid w:val="128B3205"/>
    <w:rsid w:val="12946645"/>
    <w:rsid w:val="12D3200B"/>
    <w:rsid w:val="13495D69"/>
    <w:rsid w:val="13B7767A"/>
    <w:rsid w:val="13B9670D"/>
    <w:rsid w:val="13DE4767"/>
    <w:rsid w:val="14484DCB"/>
    <w:rsid w:val="14852776"/>
    <w:rsid w:val="15140BCE"/>
    <w:rsid w:val="1584793E"/>
    <w:rsid w:val="15874EAA"/>
    <w:rsid w:val="15C47445"/>
    <w:rsid w:val="15E41B70"/>
    <w:rsid w:val="16440A35"/>
    <w:rsid w:val="16577530"/>
    <w:rsid w:val="166A54EB"/>
    <w:rsid w:val="167255CF"/>
    <w:rsid w:val="16840173"/>
    <w:rsid w:val="16FB6F37"/>
    <w:rsid w:val="17D31FDC"/>
    <w:rsid w:val="17D76C2B"/>
    <w:rsid w:val="17F8769D"/>
    <w:rsid w:val="18041AB4"/>
    <w:rsid w:val="190F268E"/>
    <w:rsid w:val="19287585"/>
    <w:rsid w:val="19610BFF"/>
    <w:rsid w:val="19953307"/>
    <w:rsid w:val="19A07D04"/>
    <w:rsid w:val="1A041D63"/>
    <w:rsid w:val="1B2C6F2C"/>
    <w:rsid w:val="1B5D5F33"/>
    <w:rsid w:val="1BA134BF"/>
    <w:rsid w:val="1BA24967"/>
    <w:rsid w:val="1BAF6A57"/>
    <w:rsid w:val="1BCE5D96"/>
    <w:rsid w:val="1BDE2098"/>
    <w:rsid w:val="1C465E86"/>
    <w:rsid w:val="1C674106"/>
    <w:rsid w:val="1C726314"/>
    <w:rsid w:val="1CE252F3"/>
    <w:rsid w:val="1D104FDC"/>
    <w:rsid w:val="1D117096"/>
    <w:rsid w:val="1DE516B8"/>
    <w:rsid w:val="1E433C85"/>
    <w:rsid w:val="1ED877DF"/>
    <w:rsid w:val="1F0B3DFE"/>
    <w:rsid w:val="1F5522A7"/>
    <w:rsid w:val="1F7B1BD0"/>
    <w:rsid w:val="1FD45CE1"/>
    <w:rsid w:val="202C791E"/>
    <w:rsid w:val="21433609"/>
    <w:rsid w:val="214D162F"/>
    <w:rsid w:val="22171129"/>
    <w:rsid w:val="222D0D62"/>
    <w:rsid w:val="2350568B"/>
    <w:rsid w:val="237F35E5"/>
    <w:rsid w:val="23A50D24"/>
    <w:rsid w:val="23BB3E13"/>
    <w:rsid w:val="23E44373"/>
    <w:rsid w:val="242806AA"/>
    <w:rsid w:val="24392A65"/>
    <w:rsid w:val="2467066D"/>
    <w:rsid w:val="24E91956"/>
    <w:rsid w:val="252E26F1"/>
    <w:rsid w:val="25C3267A"/>
    <w:rsid w:val="25D568B4"/>
    <w:rsid w:val="25F33B9E"/>
    <w:rsid w:val="260C731E"/>
    <w:rsid w:val="26103F21"/>
    <w:rsid w:val="26444E75"/>
    <w:rsid w:val="270B308D"/>
    <w:rsid w:val="27EA63D1"/>
    <w:rsid w:val="287A5D0E"/>
    <w:rsid w:val="28B05EE9"/>
    <w:rsid w:val="28D30187"/>
    <w:rsid w:val="28E571A8"/>
    <w:rsid w:val="292A2102"/>
    <w:rsid w:val="294C4E21"/>
    <w:rsid w:val="296D4B02"/>
    <w:rsid w:val="2A103412"/>
    <w:rsid w:val="2A1E1418"/>
    <w:rsid w:val="2A770C99"/>
    <w:rsid w:val="2A9A7D70"/>
    <w:rsid w:val="2AF54482"/>
    <w:rsid w:val="2BBB2833"/>
    <w:rsid w:val="2BC42334"/>
    <w:rsid w:val="2C1011CD"/>
    <w:rsid w:val="2C40390A"/>
    <w:rsid w:val="2C4C703B"/>
    <w:rsid w:val="2D0852EE"/>
    <w:rsid w:val="2D0F1A4A"/>
    <w:rsid w:val="2D241337"/>
    <w:rsid w:val="2D753D30"/>
    <w:rsid w:val="2DC02129"/>
    <w:rsid w:val="2E010168"/>
    <w:rsid w:val="2E6A7D66"/>
    <w:rsid w:val="2EA972CC"/>
    <w:rsid w:val="2EC31B75"/>
    <w:rsid w:val="2FE72027"/>
    <w:rsid w:val="306A1371"/>
    <w:rsid w:val="30EC3F54"/>
    <w:rsid w:val="3127549C"/>
    <w:rsid w:val="31533557"/>
    <w:rsid w:val="31B41A9A"/>
    <w:rsid w:val="31C74937"/>
    <w:rsid w:val="31F02E84"/>
    <w:rsid w:val="32062205"/>
    <w:rsid w:val="322068C9"/>
    <w:rsid w:val="326170B4"/>
    <w:rsid w:val="328F3B54"/>
    <w:rsid w:val="329A11A0"/>
    <w:rsid w:val="32EB1F9F"/>
    <w:rsid w:val="32FF7EB7"/>
    <w:rsid w:val="33830490"/>
    <w:rsid w:val="345E593B"/>
    <w:rsid w:val="34605A84"/>
    <w:rsid w:val="346C230B"/>
    <w:rsid w:val="35034F52"/>
    <w:rsid w:val="352C602C"/>
    <w:rsid w:val="35B16527"/>
    <w:rsid w:val="36B76A85"/>
    <w:rsid w:val="36B82ADE"/>
    <w:rsid w:val="376879F0"/>
    <w:rsid w:val="37A459DC"/>
    <w:rsid w:val="37EC4B4C"/>
    <w:rsid w:val="387B665C"/>
    <w:rsid w:val="39690814"/>
    <w:rsid w:val="39B76C90"/>
    <w:rsid w:val="39C37A55"/>
    <w:rsid w:val="39C53B44"/>
    <w:rsid w:val="39EF39C3"/>
    <w:rsid w:val="3A23092B"/>
    <w:rsid w:val="3A35598B"/>
    <w:rsid w:val="3A595F4B"/>
    <w:rsid w:val="3B0D6CB1"/>
    <w:rsid w:val="3B4C73CF"/>
    <w:rsid w:val="3BC55932"/>
    <w:rsid w:val="3C4353DD"/>
    <w:rsid w:val="3C7826C2"/>
    <w:rsid w:val="3C8F2051"/>
    <w:rsid w:val="3CD87A38"/>
    <w:rsid w:val="3D83215E"/>
    <w:rsid w:val="3DFF3A1A"/>
    <w:rsid w:val="3EA946F7"/>
    <w:rsid w:val="3ED615CF"/>
    <w:rsid w:val="3EEC674A"/>
    <w:rsid w:val="3F3A6280"/>
    <w:rsid w:val="3F8907F6"/>
    <w:rsid w:val="3F8B7D7F"/>
    <w:rsid w:val="3FDA33E1"/>
    <w:rsid w:val="3FDD61C2"/>
    <w:rsid w:val="3FF20B0E"/>
    <w:rsid w:val="40670EF7"/>
    <w:rsid w:val="40974D22"/>
    <w:rsid w:val="40AB1A12"/>
    <w:rsid w:val="40F5644E"/>
    <w:rsid w:val="41012626"/>
    <w:rsid w:val="417575F2"/>
    <w:rsid w:val="41BD7655"/>
    <w:rsid w:val="41CC7DB7"/>
    <w:rsid w:val="42D57432"/>
    <w:rsid w:val="42F60353"/>
    <w:rsid w:val="438556A7"/>
    <w:rsid w:val="43A6228A"/>
    <w:rsid w:val="4524487F"/>
    <w:rsid w:val="455123EC"/>
    <w:rsid w:val="457E4E77"/>
    <w:rsid w:val="45CC078F"/>
    <w:rsid w:val="45DC18AB"/>
    <w:rsid w:val="46352706"/>
    <w:rsid w:val="466B6F06"/>
    <w:rsid w:val="46860155"/>
    <w:rsid w:val="476049FD"/>
    <w:rsid w:val="47802A85"/>
    <w:rsid w:val="487C60FD"/>
    <w:rsid w:val="489E098C"/>
    <w:rsid w:val="48B61CC6"/>
    <w:rsid w:val="48F11FB7"/>
    <w:rsid w:val="492A5B50"/>
    <w:rsid w:val="49321AAF"/>
    <w:rsid w:val="493A681C"/>
    <w:rsid w:val="493C2E02"/>
    <w:rsid w:val="494D579F"/>
    <w:rsid w:val="498C1FB1"/>
    <w:rsid w:val="4A255416"/>
    <w:rsid w:val="4A937164"/>
    <w:rsid w:val="4A9750EA"/>
    <w:rsid w:val="4AA40703"/>
    <w:rsid w:val="4B1D70C8"/>
    <w:rsid w:val="4B647634"/>
    <w:rsid w:val="4B690413"/>
    <w:rsid w:val="4BB86F47"/>
    <w:rsid w:val="4BF60566"/>
    <w:rsid w:val="4C263A21"/>
    <w:rsid w:val="4C973694"/>
    <w:rsid w:val="4CCE54E6"/>
    <w:rsid w:val="4DE843F0"/>
    <w:rsid w:val="4EDD4EDE"/>
    <w:rsid w:val="4EE45C33"/>
    <w:rsid w:val="4F0D20A6"/>
    <w:rsid w:val="500C5A60"/>
    <w:rsid w:val="50461117"/>
    <w:rsid w:val="509A5F14"/>
    <w:rsid w:val="514005B6"/>
    <w:rsid w:val="51954E8A"/>
    <w:rsid w:val="519B5496"/>
    <w:rsid w:val="51D20DCB"/>
    <w:rsid w:val="524B3F1B"/>
    <w:rsid w:val="52667895"/>
    <w:rsid w:val="52B20439"/>
    <w:rsid w:val="53735224"/>
    <w:rsid w:val="537D24F6"/>
    <w:rsid w:val="5395034E"/>
    <w:rsid w:val="543C05E0"/>
    <w:rsid w:val="547F3EAC"/>
    <w:rsid w:val="54B9651A"/>
    <w:rsid w:val="54F9389F"/>
    <w:rsid w:val="55222910"/>
    <w:rsid w:val="55643FAD"/>
    <w:rsid w:val="559032FC"/>
    <w:rsid w:val="55C46330"/>
    <w:rsid w:val="55EF2193"/>
    <w:rsid w:val="560165A7"/>
    <w:rsid w:val="560B3FD6"/>
    <w:rsid w:val="563121A3"/>
    <w:rsid w:val="563A5292"/>
    <w:rsid w:val="5646747A"/>
    <w:rsid w:val="567B0F8C"/>
    <w:rsid w:val="56D476A1"/>
    <w:rsid w:val="56F03CB1"/>
    <w:rsid w:val="574328BF"/>
    <w:rsid w:val="584667E1"/>
    <w:rsid w:val="5884596F"/>
    <w:rsid w:val="598336AE"/>
    <w:rsid w:val="599B3F0F"/>
    <w:rsid w:val="59A2047A"/>
    <w:rsid w:val="5A41650D"/>
    <w:rsid w:val="5A7852B1"/>
    <w:rsid w:val="5AA97C90"/>
    <w:rsid w:val="5AE4319D"/>
    <w:rsid w:val="5C7E5C8C"/>
    <w:rsid w:val="5CE90207"/>
    <w:rsid w:val="5D8D61EF"/>
    <w:rsid w:val="5E3B759B"/>
    <w:rsid w:val="5E501568"/>
    <w:rsid w:val="5E50611E"/>
    <w:rsid w:val="5EB138AE"/>
    <w:rsid w:val="5EB53035"/>
    <w:rsid w:val="5ECD3218"/>
    <w:rsid w:val="5ED23CC7"/>
    <w:rsid w:val="5EE6353D"/>
    <w:rsid w:val="5F0310B7"/>
    <w:rsid w:val="5F0C287E"/>
    <w:rsid w:val="5F5952B0"/>
    <w:rsid w:val="602E28A2"/>
    <w:rsid w:val="60C0423D"/>
    <w:rsid w:val="60E7450D"/>
    <w:rsid w:val="61383861"/>
    <w:rsid w:val="6166406C"/>
    <w:rsid w:val="618F3AF2"/>
    <w:rsid w:val="61BB6950"/>
    <w:rsid w:val="61DA68DC"/>
    <w:rsid w:val="622708C6"/>
    <w:rsid w:val="62460A47"/>
    <w:rsid w:val="63554C8E"/>
    <w:rsid w:val="63890B77"/>
    <w:rsid w:val="639D1EC4"/>
    <w:rsid w:val="63A13700"/>
    <w:rsid w:val="63DA03E2"/>
    <w:rsid w:val="643861FD"/>
    <w:rsid w:val="64541B77"/>
    <w:rsid w:val="64667487"/>
    <w:rsid w:val="646C214C"/>
    <w:rsid w:val="64E9282A"/>
    <w:rsid w:val="654650B5"/>
    <w:rsid w:val="65C63D9B"/>
    <w:rsid w:val="66103AAA"/>
    <w:rsid w:val="667640C4"/>
    <w:rsid w:val="6697375D"/>
    <w:rsid w:val="66DC24A5"/>
    <w:rsid w:val="66DF3B52"/>
    <w:rsid w:val="67217323"/>
    <w:rsid w:val="672963E0"/>
    <w:rsid w:val="675A4556"/>
    <w:rsid w:val="675C47D1"/>
    <w:rsid w:val="675E5725"/>
    <w:rsid w:val="679271B5"/>
    <w:rsid w:val="67AE1BA6"/>
    <w:rsid w:val="68191A65"/>
    <w:rsid w:val="68F60924"/>
    <w:rsid w:val="69572330"/>
    <w:rsid w:val="698C4C9E"/>
    <w:rsid w:val="69E719A0"/>
    <w:rsid w:val="6A166B97"/>
    <w:rsid w:val="6A5B0FA5"/>
    <w:rsid w:val="6A754FA8"/>
    <w:rsid w:val="6A897CE1"/>
    <w:rsid w:val="6A983C35"/>
    <w:rsid w:val="6B4C2F45"/>
    <w:rsid w:val="6B966680"/>
    <w:rsid w:val="6C161AD0"/>
    <w:rsid w:val="6D157AE9"/>
    <w:rsid w:val="6D2E7D50"/>
    <w:rsid w:val="6DB009C6"/>
    <w:rsid w:val="6DC10226"/>
    <w:rsid w:val="6DD90E21"/>
    <w:rsid w:val="6DE0162F"/>
    <w:rsid w:val="6DFA3383"/>
    <w:rsid w:val="6E1A49C5"/>
    <w:rsid w:val="6E254EA7"/>
    <w:rsid w:val="6EBB30B7"/>
    <w:rsid w:val="6F786BDA"/>
    <w:rsid w:val="7018621E"/>
    <w:rsid w:val="709573C6"/>
    <w:rsid w:val="709E2354"/>
    <w:rsid w:val="70E70772"/>
    <w:rsid w:val="71900429"/>
    <w:rsid w:val="719027A5"/>
    <w:rsid w:val="71C9496E"/>
    <w:rsid w:val="71EE76F7"/>
    <w:rsid w:val="724D102D"/>
    <w:rsid w:val="725F0CAE"/>
    <w:rsid w:val="729670D4"/>
    <w:rsid w:val="72981180"/>
    <w:rsid w:val="729C09F9"/>
    <w:rsid w:val="73155C46"/>
    <w:rsid w:val="7366194C"/>
    <w:rsid w:val="74062834"/>
    <w:rsid w:val="740D552E"/>
    <w:rsid w:val="74136087"/>
    <w:rsid w:val="74641A6F"/>
    <w:rsid w:val="74A805D6"/>
    <w:rsid w:val="74A870B6"/>
    <w:rsid w:val="74FA0674"/>
    <w:rsid w:val="754F1383"/>
    <w:rsid w:val="75DC198B"/>
    <w:rsid w:val="763F7244"/>
    <w:rsid w:val="764A2B58"/>
    <w:rsid w:val="76661B90"/>
    <w:rsid w:val="767F0302"/>
    <w:rsid w:val="76CD53F1"/>
    <w:rsid w:val="77731DCC"/>
    <w:rsid w:val="77F43C8B"/>
    <w:rsid w:val="78A33979"/>
    <w:rsid w:val="78FB1E09"/>
    <w:rsid w:val="79BB4445"/>
    <w:rsid w:val="79CC1086"/>
    <w:rsid w:val="79EF28EF"/>
    <w:rsid w:val="7A0E66B3"/>
    <w:rsid w:val="7A300713"/>
    <w:rsid w:val="7A3B7268"/>
    <w:rsid w:val="7AB968E7"/>
    <w:rsid w:val="7AC65BFC"/>
    <w:rsid w:val="7B0735D8"/>
    <w:rsid w:val="7B0F7EA2"/>
    <w:rsid w:val="7B2F3DDD"/>
    <w:rsid w:val="7B4B41CD"/>
    <w:rsid w:val="7B5A24C6"/>
    <w:rsid w:val="7CDB4C9F"/>
    <w:rsid w:val="7D016D57"/>
    <w:rsid w:val="7D2B624D"/>
    <w:rsid w:val="7EA630E7"/>
    <w:rsid w:val="7EB61058"/>
    <w:rsid w:val="7ED004CF"/>
    <w:rsid w:val="7F691199"/>
    <w:rsid w:val="7F9C17F8"/>
    <w:rsid w:val="7FA90BF5"/>
    <w:rsid w:val="7FEC5719"/>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uiPriority w:val="1"/>
  </w:style>
  <w:style w:type="table" w:default="1" w:styleId="10">
    <w:name w:val="Normal Table"/>
    <w:unhideWhenUsed/>
    <w:qFormat/>
    <w:uiPriority w:val="99"/>
    <w:tblPr>
      <w:tblStyle w:val="10"/>
      <w:tblLayout w:type="fixed"/>
      <w:tblCellMar>
        <w:top w:w="0" w:type="dxa"/>
        <w:left w:w="108" w:type="dxa"/>
        <w:bottom w:w="0" w:type="dxa"/>
        <w:right w:w="108" w:type="dxa"/>
      </w:tblCellMar>
    </w:tblPr>
    <w:tcPr>
      <w:textDirection w:val="lrTb"/>
    </w:tcPr>
  </w:style>
  <w:style w:type="paragraph" w:styleId="2">
    <w:name w:val="annotation subject"/>
    <w:basedOn w:val="3"/>
    <w:next w:val="3"/>
    <w:link w:val="14"/>
    <w:uiPriority w:val="0"/>
    <w:rPr>
      <w:b/>
      <w:bCs/>
    </w:rPr>
  </w:style>
  <w:style w:type="paragraph" w:styleId="3">
    <w:name w:val="annotation text"/>
    <w:basedOn w:val="1"/>
    <w:link w:val="13"/>
    <w:qFormat/>
    <w:uiPriority w:val="0"/>
    <w:pPr>
      <w:jc w:val="left"/>
    </w:pPr>
  </w:style>
  <w:style w:type="paragraph" w:styleId="4">
    <w:name w:val="Body Text Indent"/>
    <w:basedOn w:val="1"/>
    <w:unhideWhenUsed/>
    <w:uiPriority w:val="0"/>
    <w:pPr>
      <w:ind w:firstLine="630"/>
    </w:pPr>
    <w:rPr>
      <w:kern w:val="0"/>
      <w:sz w:val="24"/>
    </w:rPr>
  </w:style>
  <w:style w:type="paragraph" w:styleId="5">
    <w:name w:val="Balloon Text"/>
    <w:basedOn w:val="1"/>
    <w:semiHidden/>
    <w:uiPriority w:val="0"/>
    <w:rPr>
      <w:sz w:val="18"/>
      <w:szCs w:val="18"/>
    </w:rPr>
  </w:style>
  <w:style w:type="paragraph" w:styleId="6">
    <w:name w:val="footer"/>
    <w:basedOn w:val="1"/>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20"/>
    </w:rPr>
  </w:style>
  <w:style w:type="character" w:styleId="9">
    <w:name w:val="annotation reference"/>
    <w:uiPriority w:val="0"/>
    <w:rPr>
      <w:sz w:val="21"/>
      <w:szCs w:val="21"/>
    </w:rPr>
  </w:style>
  <w:style w:type="paragraph" w:customStyle="1" w:styleId="11">
    <w:name w:val="Defaul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2">
    <w:name w:val="修订1"/>
    <w:unhideWhenUsed/>
    <w:uiPriority w:val="99"/>
    <w:rPr>
      <w:rFonts w:ascii="Times New Roman" w:hAnsi="Times New Roman" w:eastAsia="宋体" w:cs="Times New Roman"/>
      <w:kern w:val="2"/>
      <w:sz w:val="21"/>
      <w:szCs w:val="24"/>
      <w:lang w:val="en-US" w:eastAsia="zh-CN" w:bidi="ar-SA"/>
    </w:rPr>
  </w:style>
  <w:style w:type="character" w:customStyle="1" w:styleId="13">
    <w:name w:val="批注文字 Char"/>
    <w:link w:val="3"/>
    <w:qFormat/>
    <w:uiPriority w:val="0"/>
    <w:rPr>
      <w:kern w:val="2"/>
      <w:sz w:val="21"/>
      <w:szCs w:val="24"/>
    </w:rPr>
  </w:style>
  <w:style w:type="character" w:customStyle="1" w:styleId="14">
    <w:name w:val="批注主题 Char"/>
    <w:link w:val="2"/>
    <w:uiPriority w:val="0"/>
    <w:rPr>
      <w:b/>
      <w:bCs/>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16</Pages>
  <Words>2519</Words>
  <Characters>14363</Characters>
  <Lines>119</Lines>
  <Paragraphs>33</Paragraphs>
  <TotalTime>0</TotalTime>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2023-04-17T05:41:00Z</dcterms:created>
  <dc:creator>ylh</dc:creator>
  <cp:keywords>23Y4</cp:keywords>
  <cp:lastModifiedBy>RORO</cp:lastModifiedBy>
  <cp:lastPrinted>2021-07-21T07:06:00Z</cp:lastPrinted>
  <dcterms:modified xsi:type="dcterms:W3CDTF">2023-06-27T09:54:24Z</dcterms:modified>
  <dc:title>华夏理财固定收益增强型精选封闭式</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B2FAF3FF20534A5AB21DAD7C6448A325</vt:lpwstr>
  </property>
</Properties>
</file>