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华夏理财悦享两年期理财产品</w:t>
      </w:r>
      <w:r>
        <w:rPr>
          <w:rFonts w:hint="eastAsia" w:eastAsia="黑体"/>
          <w:bCs/>
          <w:kern w:val="2"/>
          <w:sz w:val="36"/>
          <w:szCs w:val="36"/>
          <w:lang w:val="en-US" w:eastAsia="zh-CN"/>
        </w:rPr>
        <w:t>10</w:t>
      </w:r>
      <w:r>
        <w:rPr>
          <w:rFonts w:hint="eastAsia" w:eastAsia="黑体"/>
          <w:bCs/>
          <w:kern w:val="2"/>
          <w:sz w:val="36"/>
          <w:szCs w:val="36"/>
        </w:rPr>
        <w:t>号说明书</w:t>
      </w:r>
    </w:p>
    <w:tbl>
      <w:tblPr>
        <w:tblStyle w:val="13"/>
        <w:tblpPr w:leftFromText="180" w:rightFromText="180" w:vertAnchor="page" w:horzAnchor="page" w:tblpX="1867" w:tblpY="2343"/>
        <w:tblW w:w="859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w:t>
            </w:r>
            <w:r>
              <w:rPr>
                <w:rFonts w:hint="eastAsia" w:ascii="黑体" w:hAnsi="黑体" w:eastAsia="黑体"/>
                <w:b/>
                <w:sz w:val="28"/>
                <w:szCs w:val="28"/>
                <w:u w:val="single"/>
                <w:lang w:val="en-US" w:eastAsia="zh-CN"/>
              </w:rPr>
              <w:t>不能</w:t>
            </w:r>
            <w:r>
              <w:rPr>
                <w:rFonts w:hint="eastAsia" w:ascii="黑体" w:hAnsi="黑体" w:eastAsia="黑体"/>
                <w:b/>
                <w:sz w:val="28"/>
                <w:szCs w:val="28"/>
                <w:u w:val="single"/>
              </w:rPr>
              <w:t>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870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9"/>
        <w:gridCol w:w="70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华夏理财悦享两年期理财产品</w:t>
            </w:r>
            <w:r>
              <w:rPr>
                <w:rFonts w:hint="eastAsia" w:ascii="仿宋" w:hAnsi="仿宋" w:eastAsia="仿宋"/>
                <w:b/>
                <w:bCs/>
                <w:szCs w:val="21"/>
                <w:lang w:val="en-US" w:eastAsia="zh-CN"/>
              </w:rPr>
              <w:t>10</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简称：“华夏理财悦享两年期</w:t>
            </w:r>
            <w:r>
              <w:rPr>
                <w:rFonts w:hint="eastAsia" w:ascii="仿宋" w:hAnsi="仿宋" w:eastAsia="仿宋"/>
                <w:b/>
                <w:bCs/>
                <w:szCs w:val="21"/>
                <w:lang w:val="en-US" w:eastAsia="zh-CN"/>
              </w:rPr>
              <w:t>10</w:t>
            </w:r>
            <w:r>
              <w:rPr>
                <w:rFonts w:hint="eastAsia" w:ascii="仿宋" w:hAnsi="仿宋" w:eastAsia="仿宋"/>
                <w:b/>
                <w:bCs/>
                <w:szCs w:val="21"/>
              </w:rPr>
              <w:t>号7</w:t>
            </w:r>
            <w:r>
              <w:rPr>
                <w:rFonts w:hint="eastAsia" w:ascii="仿宋" w:hAnsi="仿宋" w:eastAsia="仿宋"/>
                <w:b/>
                <w:bCs/>
                <w:szCs w:val="21"/>
                <w:lang w:val="en-US" w:eastAsia="zh-CN"/>
              </w:rPr>
              <w:t>22</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231360</w:t>
            </w:r>
            <w:r>
              <w:rPr>
                <w:rFonts w:hint="eastAsia" w:ascii="仿宋" w:hAnsi="仿宋" w:eastAsia="仿宋"/>
                <w:bCs/>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Z7003923000</w:t>
            </w:r>
            <w:r>
              <w:rPr>
                <w:rFonts w:hint="eastAsia" w:ascii="仿宋" w:hAnsi="仿宋" w:eastAsia="仿宋"/>
                <w:bCs/>
                <w:szCs w:val="21"/>
                <w:highlight w:val="none"/>
                <w:lang w:val="en-US" w:eastAsia="zh-CN"/>
              </w:rPr>
              <w:t>242</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 xml:space="preserve">人民币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w:t>
            </w:r>
            <w:r>
              <w:rPr>
                <w:rFonts w:hint="eastAsia" w:ascii="仿宋" w:hAnsi="仿宋" w:eastAsia="仿宋" w:cs="Cambria"/>
                <w:bCs/>
                <w:szCs w:val="21"/>
                <w:lang w:val="en-US" w:eastAsia="zh-CN"/>
              </w:rPr>
              <w:t>3</w:t>
            </w:r>
            <w:r>
              <w:rPr>
                <w:rFonts w:ascii="仿宋" w:hAnsi="仿宋" w:eastAsia="仿宋" w:cs="Cambria"/>
                <w:bCs/>
                <w:szCs w:val="21"/>
              </w:rPr>
              <w:t>0%-5.00%</w:t>
            </w:r>
            <w:r>
              <w:rPr>
                <w:rFonts w:hint="eastAsia" w:ascii="仿宋" w:hAnsi="仿宋" w:eastAsia="仿宋" w:cs="Cambria"/>
                <w:bCs/>
                <w:szCs w:val="21"/>
              </w:rPr>
              <w:t>。以产品投资债券类资产仓位</w:t>
            </w:r>
            <w:r>
              <w:rPr>
                <w:rFonts w:hint="eastAsia" w:ascii="仿宋" w:hAnsi="仿宋" w:eastAsia="仿宋" w:cs="Cambria"/>
                <w:bCs/>
                <w:szCs w:val="21"/>
                <w:lang w:val="en-US" w:eastAsia="zh-CN"/>
              </w:rPr>
              <w:t>6</w:t>
            </w:r>
            <w:r>
              <w:rPr>
                <w:rFonts w:hint="eastAsia" w:ascii="仿宋" w:hAnsi="仿宋" w:eastAsia="仿宋" w:cs="Cambria"/>
                <w:bCs/>
                <w:szCs w:val="21"/>
              </w:rPr>
              <w:t>0%-100%，收益凭证及其他非标债权类资产仓位0-40%，权益类资产仓位0-20%，组合杠杆率1</w:t>
            </w:r>
            <w:r>
              <w:rPr>
                <w:rFonts w:hint="eastAsia" w:ascii="仿宋" w:hAnsi="仿宋" w:eastAsia="仿宋" w:cs="Cambria"/>
                <w:bCs/>
                <w:szCs w:val="21"/>
                <w:lang w:val="en-US" w:eastAsia="zh-CN"/>
              </w:rPr>
              <w:t>2</w:t>
            </w:r>
            <w:r>
              <w:rPr>
                <w:rFonts w:hint="eastAsia" w:ascii="仿宋" w:hAnsi="仿宋" w:eastAsia="仿宋" w:cs="Cambria"/>
                <w:bCs/>
                <w:szCs w:val="21"/>
              </w:rPr>
              <w:t>0%-140%为例，参考中债-信用债总财富指数、Wind混合型基金总指数、非标债权类资产目标收益率以及收益凭证的收益特征，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日（含）起，产品封闭运作至到期。</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2025年</w:t>
            </w:r>
            <w:r>
              <w:rPr>
                <w:rFonts w:hint="eastAsia" w:ascii="仿宋" w:hAnsi="仿宋" w:eastAsia="仿宋"/>
                <w:bCs/>
                <w:color w:val="000000"/>
                <w:szCs w:val="21"/>
                <w:lang w:val="en-US" w:eastAsia="zh-CN"/>
              </w:rPr>
              <w:t>7</w:t>
            </w:r>
            <w:r>
              <w:rPr>
                <w:rFonts w:hint="eastAsia" w:ascii="仿宋" w:hAnsi="仿宋" w:eastAsia="仿宋"/>
                <w:bCs/>
                <w:color w:val="000000"/>
                <w:szCs w:val="21"/>
              </w:rPr>
              <w:t>月</w:t>
            </w:r>
            <w:r>
              <w:rPr>
                <w:rFonts w:hint="eastAsia" w:ascii="仿宋" w:hAnsi="仿宋" w:eastAsia="仿宋"/>
                <w:bCs/>
                <w:color w:val="000000"/>
                <w:szCs w:val="21"/>
                <w:lang w:val="en-US" w:eastAsia="zh-CN"/>
              </w:rPr>
              <w:t>2</w:t>
            </w:r>
            <w:r>
              <w:rPr>
                <w:rFonts w:hint="eastAsia" w:ascii="仿宋" w:hAnsi="仿宋" w:eastAsia="仿宋"/>
                <w:bCs/>
                <w:color w:val="000000"/>
                <w:szCs w:val="21"/>
              </w:rPr>
              <w:t>日理财产品正常到期。如理财产品因故提前或延迟到期的，则终止日以华夏理财发布的公告为准。到期日如为非工作日，则顺延至下一工作日。（产品实际期限受制于提前终止条款的约定）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w:t>
            </w:r>
            <w:r>
              <w:rPr>
                <w:rFonts w:hint="eastAsia" w:ascii="仿宋" w:hAnsi="仿宋" w:eastAsia="仿宋"/>
              </w:rPr>
              <w:t>要求：单一投资者持有本产品份额数不得超过产品份额总数的50%。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hint="eastAsia" w:ascii="仿宋" w:hAnsi="仿宋" w:eastAsia="仿宋"/>
                <w:b/>
                <w:szCs w:val="21"/>
              </w:rPr>
            </w:pPr>
            <w:r>
              <w:rPr>
                <w:rFonts w:hint="eastAsia" w:ascii="仿宋" w:hAnsi="仿宋" w:eastAsia="仿宋"/>
                <w:b/>
                <w:szCs w:val="21"/>
              </w:rPr>
              <w:t>本产品开放期</w:t>
            </w:r>
            <w:r>
              <w:rPr>
                <w:rFonts w:ascii="仿宋" w:hAnsi="仿宋" w:eastAsia="仿宋"/>
                <w:b/>
                <w:szCs w:val="21"/>
              </w:rPr>
              <w:t>为</w:t>
            </w:r>
            <w:r>
              <w:rPr>
                <w:rFonts w:hint="eastAsia" w:ascii="仿宋" w:hAnsi="仿宋" w:eastAsia="仿宋"/>
                <w:b/>
                <w:szCs w:val="21"/>
              </w:rPr>
              <w:t>成立日（不含）至2023年</w:t>
            </w:r>
            <w:r>
              <w:rPr>
                <w:rFonts w:hint="eastAsia" w:ascii="仿宋" w:hAnsi="仿宋" w:eastAsia="仿宋"/>
                <w:b/>
                <w:szCs w:val="21"/>
                <w:lang w:val="en-US" w:eastAsia="zh-CN"/>
              </w:rPr>
              <w:t>8</w:t>
            </w:r>
            <w:r>
              <w:rPr>
                <w:rFonts w:hint="eastAsia" w:ascii="仿宋" w:hAnsi="仿宋" w:eastAsia="仿宋"/>
                <w:b/>
                <w:szCs w:val="21"/>
              </w:rPr>
              <w:t>月</w:t>
            </w:r>
            <w:r>
              <w:rPr>
                <w:rFonts w:hint="eastAsia" w:ascii="仿宋" w:hAnsi="仿宋" w:eastAsia="仿宋"/>
                <w:b/>
                <w:szCs w:val="21"/>
                <w:lang w:val="en-US" w:eastAsia="zh-CN"/>
              </w:rPr>
              <w:t>1</w:t>
            </w:r>
            <w:r>
              <w:rPr>
                <w:rFonts w:hint="eastAsia" w:ascii="仿宋" w:hAnsi="仿宋" w:eastAsia="仿宋"/>
                <w:b/>
                <w:szCs w:val="21"/>
              </w:rPr>
              <w:t>日（含），</w:t>
            </w:r>
            <w:r>
              <w:rPr>
                <w:rFonts w:ascii="仿宋" w:hAnsi="仿宋" w:eastAsia="仿宋"/>
                <w:b/>
                <w:szCs w:val="21"/>
              </w:rPr>
              <w:t>开放期内每个工作日</w:t>
            </w:r>
            <w:r>
              <w:rPr>
                <w:rFonts w:hint="eastAsia" w:ascii="仿宋" w:hAnsi="仿宋" w:eastAsia="仿宋"/>
                <w:b/>
                <w:szCs w:val="21"/>
              </w:rPr>
              <w:t>为申购开放日。申购开放日交易时间内投资者仅可提交申购申请。</w:t>
            </w:r>
          </w:p>
          <w:p>
            <w:pPr>
              <w:keepNext/>
              <w:adjustRightInd w:val="0"/>
              <w:snapToGrid w:val="0"/>
              <w:spacing w:line="240" w:lineRule="atLeast"/>
              <w:ind w:firstLine="422" w:firstLineChars="200"/>
              <w:rPr>
                <w:rFonts w:ascii="仿宋" w:hAnsi="仿宋" w:eastAsia="仿宋"/>
                <w:b/>
                <w:szCs w:val="21"/>
              </w:rPr>
            </w:pPr>
            <w:r>
              <w:rPr>
                <w:rFonts w:hint="eastAsia" w:ascii="仿宋" w:hAnsi="仿宋" w:eastAsia="仿宋"/>
                <w:b/>
                <w:szCs w:val="21"/>
              </w:rPr>
              <w:t>本产品无赎回开放日，不受理投资者任何形式的赎回申请。</w:t>
            </w:r>
          </w:p>
          <w:tbl>
            <w:tblPr>
              <w:tblStyle w:val="13"/>
              <w:tblW w:w="6360" w:type="dxa"/>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82"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278"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082" w:type="dxa"/>
                  <w:vAlign w:val="center"/>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278" w:type="dxa"/>
                  <w:vAlign w:val="top"/>
                </w:tcPr>
                <w:p>
                  <w:pPr>
                    <w:keepNext/>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通过华夏银行/华夏理财购买的，每交易所工作日</w:t>
                  </w:r>
                  <w:r>
                    <w:rPr>
                      <w:rFonts w:hint="eastAsia" w:ascii="仿宋" w:hAnsi="仿宋" w:eastAsia="仿宋"/>
                    </w:rPr>
                    <w:t>9:00-17:00仅开放申购。2023年</w:t>
                  </w:r>
                  <w:r>
                    <w:rPr>
                      <w:rFonts w:hint="eastAsia" w:ascii="仿宋" w:hAnsi="仿宋" w:eastAsia="仿宋"/>
                      <w:lang w:val="en-US" w:eastAsia="zh-CN"/>
                    </w:rPr>
                    <w:t>8</w:t>
                  </w:r>
                  <w:r>
                    <w:rPr>
                      <w:rFonts w:hint="eastAsia" w:ascii="仿宋" w:hAnsi="仿宋" w:eastAsia="仿宋"/>
                    </w:rPr>
                    <w:t>月</w:t>
                  </w:r>
                  <w:r>
                    <w:rPr>
                      <w:rFonts w:hint="eastAsia" w:ascii="仿宋" w:hAnsi="仿宋" w:eastAsia="仿宋"/>
                      <w:lang w:val="en-US" w:eastAsia="zh-CN"/>
                    </w:rPr>
                    <w:t>2</w:t>
                  </w:r>
                  <w:r>
                    <w:rPr>
                      <w:rFonts w:hint="eastAsia" w:ascii="仿宋" w:hAnsi="仿宋" w:eastAsia="仿宋"/>
                    </w:rPr>
                    <w:t>日（含）起，产品封闭运作至到期。投资者若在T日非开放时间提交申购，等同在下一开放时间内提交的申购申请，T日为开放日。</w:t>
                  </w:r>
                </w:p>
              </w:tc>
            </w:tr>
          </w:tbl>
          <w:p>
            <w:pPr>
              <w:keepNext/>
              <w:adjustRightInd w:val="0"/>
              <w:snapToGrid w:val="0"/>
              <w:spacing w:line="240" w:lineRule="atLeast"/>
              <w:ind w:right="-44" w:firstLine="422" w:firstLineChars="200"/>
              <w:jc w:val="left"/>
              <w:rPr>
                <w:rFonts w:ascii="仿宋" w:hAnsi="仿宋" w:eastAsia="仿宋"/>
                <w:b/>
                <w:bCs/>
                <w:szCs w:val="21"/>
              </w:rPr>
            </w:pPr>
          </w:p>
          <w:p>
            <w:pPr>
              <w:keepNext/>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keepNext/>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keepNext/>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以申购申请日的日终份额净值确认，按照“金额申购”的原则计算申购份额。</w:t>
            </w:r>
          </w:p>
          <w:p>
            <w:pPr>
              <w:adjustRightInd w:val="0"/>
              <w:snapToGrid w:val="0"/>
              <w:spacing w:line="240" w:lineRule="atLeast"/>
              <w:ind w:right="-44" w:firstLine="420" w:firstLineChars="200"/>
              <w:jc w:val="left"/>
              <w:rPr>
                <w:rFonts w:hint="eastAsia"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240" w:lineRule="atLeast"/>
              <w:ind w:left="0" w:leftChars="0"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投资者可于开放日开放时间内撤销当日已提交的申购申请（仅可全额撤销），具体规定如下：</w:t>
            </w:r>
          </w:p>
          <w:p>
            <w:pPr>
              <w:adjustRightInd w:val="0"/>
              <w:snapToGrid w:val="0"/>
              <w:spacing w:line="240" w:lineRule="atLeast"/>
              <w:ind w:left="0" w:leftChars="0"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认购费/申购费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
                <w:szCs w:val="21"/>
              </w:rPr>
            </w:pPr>
            <w:r>
              <w:rPr>
                <w:rFonts w:hint="eastAsia" w:ascii="仿宋" w:hAnsi="仿宋" w:eastAsia="仿宋"/>
                <w:b/>
                <w:szCs w:val="21"/>
              </w:rPr>
              <w:t>托管费</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w:t>
            </w:r>
            <w:r>
              <w:rPr>
                <w:rFonts w:ascii="仿宋" w:hAnsi="仿宋" w:eastAsia="仿宋"/>
                <w:b/>
                <w:szCs w:val="21"/>
              </w:rPr>
              <w:t>03</w:t>
            </w:r>
            <w:r>
              <w:rPr>
                <w:rFonts w:hint="eastAsia" w:ascii="仿宋" w:hAnsi="仿宋" w:eastAsia="仿宋"/>
                <w:b/>
                <w:szCs w:val="21"/>
              </w:rPr>
              <w:t>%/年，以前一日资产净值为基数，每日计提。</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w:t>
            </w:r>
            <w:r>
              <w:rPr>
                <w:rFonts w:ascii="仿宋" w:hAnsi="仿宋" w:eastAsia="仿宋"/>
                <w:b/>
                <w:szCs w:val="21"/>
              </w:rPr>
              <w:t>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销售手续费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F=E×【0.30%】/当年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固定管理费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本产品超额管理费计提基准为</w:t>
            </w:r>
            <w:r>
              <w:rPr>
                <w:rFonts w:ascii="仿宋" w:hAnsi="仿宋" w:eastAsia="仿宋"/>
                <w:b/>
                <w:szCs w:val="21"/>
              </w:rPr>
              <w:t>5.00%</w:t>
            </w:r>
            <w:r>
              <w:rPr>
                <w:rFonts w:hint="eastAsia" w:ascii="仿宋" w:hAnsi="仿宋" w:eastAsia="仿宋"/>
                <w:b/>
                <w:szCs w:val="21"/>
              </w:rPr>
              <w:t>（年化）。</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本产品超额管理费的计算公式：</w:t>
            </w:r>
          </w:p>
          <w:p>
            <w:pPr>
              <w:adjustRightInd w:val="0"/>
              <w:snapToGrid w:val="0"/>
              <w:spacing w:line="240" w:lineRule="atLeast"/>
              <w:ind w:firstLine="420"/>
              <w:rPr>
                <w:rFonts w:hint="default" w:ascii="仿宋" w:hAnsi="仿宋" w:eastAsia="仿宋"/>
                <w:b/>
                <w:szCs w:val="21"/>
                <w:lang w:val="en-US"/>
              </w:rPr>
            </w:pPr>
            <w:r>
              <w:rPr>
                <w:rFonts w:hint="eastAsia" w:ascii="仿宋" w:hAnsi="仿宋" w:eastAsia="仿宋"/>
                <w:b/>
                <w:szCs w:val="21"/>
              </w:rPr>
              <w:t>超额管理费=（年化收益率-超额管理费计提基准）×封闭期内</w:t>
            </w:r>
            <w:r>
              <w:rPr>
                <w:rFonts w:hint="eastAsia" w:ascii="仿宋" w:hAnsi="仿宋" w:eastAsia="仿宋" w:cs="Cambria"/>
                <w:b/>
                <w:szCs w:val="21"/>
              </w:rPr>
              <w:t>持有天数</w:t>
            </w:r>
            <w:r>
              <w:rPr>
                <w:rFonts w:hint="eastAsia" w:ascii="仿宋" w:hAnsi="仿宋" w:eastAsia="仿宋"/>
                <w:b/>
                <w:szCs w:val="21"/>
              </w:rPr>
              <w:t>÷365×50%×产品份额×</w:t>
            </w:r>
            <w:r>
              <w:rPr>
                <w:rFonts w:hint="default" w:ascii="仿宋" w:hAnsi="仿宋" w:eastAsia="仿宋"/>
                <w:b/>
                <w:szCs w:val="21"/>
                <w:lang w:val="en-US"/>
              </w:rPr>
              <w:t>基准净值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 - 开放期内单位净值最高日累计单位净值）÷（开放期内单位净值最高日单位净值）×365÷封闭期内持有天数。</w:t>
            </w:r>
          </w:p>
          <w:p>
            <w:pPr>
              <w:adjustRightInd w:val="0"/>
              <w:snapToGrid w:val="0"/>
              <w:spacing w:line="240" w:lineRule="atLeast"/>
              <w:ind w:firstLine="420"/>
            </w:pPr>
            <w:r>
              <w:rPr>
                <w:rFonts w:hint="eastAsia" w:ascii="仿宋" w:hAnsi="仿宋" w:eastAsia="仿宋"/>
                <w:b/>
                <w:bCs/>
                <w:szCs w:val="21"/>
              </w:rPr>
              <w:t>“产品份额”为该封闭期内份额，若封闭期内有红利再投时，将剔除红利再投产生份额的影响。</w:t>
            </w:r>
            <w:r>
              <w:rPr>
                <w:rFonts w:hint="eastAsia" w:ascii="仿宋" w:hAnsi="仿宋" w:eastAsia="仿宋"/>
                <w:b/>
                <w:szCs w:val="21"/>
              </w:rPr>
              <w:t>基准净值</w:t>
            </w:r>
            <w:r>
              <w:rPr>
                <w:rFonts w:hint="eastAsia" w:ascii="仿宋" w:hAnsi="仿宋" w:eastAsia="仿宋"/>
                <w:b/>
                <w:bCs/>
                <w:szCs w:val="21"/>
              </w:rPr>
              <w:t>为开放期最后一个开放日的单位净值。</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产品</w:t>
            </w:r>
            <w:r>
              <w:rPr>
                <w:rFonts w:ascii="仿宋" w:hAnsi="仿宋" w:eastAsia="仿宋"/>
                <w:b/>
                <w:szCs w:val="21"/>
              </w:rPr>
              <w:t>封闭期内</w:t>
            </w:r>
            <w:r>
              <w:rPr>
                <w:rFonts w:hint="eastAsia" w:ascii="仿宋" w:hAnsi="仿宋" w:eastAsia="仿宋"/>
                <w:b/>
                <w:szCs w:val="21"/>
              </w:rPr>
              <w:t>每个</w:t>
            </w:r>
            <w:r>
              <w:rPr>
                <w:rFonts w:ascii="仿宋" w:hAnsi="仿宋" w:eastAsia="仿宋"/>
                <w:b/>
                <w:szCs w:val="21"/>
              </w:rPr>
              <w:t>估值日</w:t>
            </w:r>
            <w:r>
              <w:rPr>
                <w:rFonts w:hint="eastAsia" w:ascii="仿宋" w:hAnsi="仿宋" w:eastAsia="仿宋"/>
                <w:b/>
                <w:szCs w:val="21"/>
              </w:rPr>
              <w:t>计提</w:t>
            </w:r>
            <w:r>
              <w:rPr>
                <w:rFonts w:ascii="仿宋" w:hAnsi="仿宋" w:eastAsia="仿宋"/>
                <w:b/>
                <w:szCs w:val="21"/>
              </w:rPr>
              <w:t>超额管理费</w:t>
            </w:r>
            <w:r>
              <w:rPr>
                <w:rFonts w:hint="eastAsia" w:ascii="仿宋" w:hAnsi="仿宋" w:eastAsia="仿宋"/>
                <w:b/>
                <w:szCs w:val="21"/>
              </w:rPr>
              <w:t>，仅作为暂估数据，用于本产品会计核算和估值日估值。仅到期/终止日为本产品超额管理费实际计提和收取日。</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w:t>
            </w:r>
            <w:r>
              <w:rPr>
                <w:rFonts w:ascii="仿宋" w:hAnsi="仿宋" w:eastAsia="仿宋"/>
                <w:b/>
                <w:szCs w:val="21"/>
              </w:rPr>
              <w:t>通过</w:t>
            </w:r>
            <w:r>
              <w:rPr>
                <w:rFonts w:hint="eastAsia" w:ascii="仿宋" w:hAnsi="仿宋" w:eastAsia="仿宋"/>
                <w:b/>
                <w:szCs w:val="21"/>
              </w:rPr>
              <w:t>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033"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时，管理人可根据理财产品投资组合的市场冲击成本调整投资者申购时的产品份额净值，将调整投资组合的市场冲击成本分配给实际申购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产品成立满半年后，如净值大于1.0000且存在可分配利润，则每半年分红，具体以分红公告为准。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033" w:type="dxa"/>
            <w:tcBorders>
              <w:top w:val="single" w:color="auto" w:sz="4" w:space="0"/>
              <w:left w:val="single" w:color="auto" w:sz="4" w:space="0"/>
              <w:bottom w:val="single" w:color="auto" w:sz="4" w:space="0"/>
              <w:right w:val="single" w:color="auto" w:sz="4" w:space="0"/>
            </w:tcBorders>
            <w:vAlign w:val="center"/>
          </w:tcPr>
          <w:p>
            <w:pPr>
              <w:keepNext/>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keepNext/>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keepNext/>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keepNext/>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5,000</w:t>
            </w:r>
            <w:r>
              <w:rPr>
                <w:rFonts w:hint="eastAsia" w:ascii="仿宋" w:hAnsi="仿宋" w:eastAsia="仿宋"/>
                <w:bCs/>
                <w:szCs w:val="21"/>
              </w:rPr>
              <w:t>万份时；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0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6"/>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本产品主要投资于货币市场工具、标准化债权类资产、非标准化债权类资产等固定收益类资产及权益类资产。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固定收益类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w:t>
      </w:r>
      <w:r>
        <w:rPr>
          <w:rFonts w:hint="eastAsia" w:ascii="仿宋" w:hAnsi="仿宋" w:eastAsia="仿宋" w:cs="宋体"/>
          <w:kern w:val="0"/>
          <w:sz w:val="24"/>
          <w:lang w:val="en-US" w:eastAsia="zh-CN"/>
        </w:rPr>
        <w:t>理财</w:t>
      </w:r>
      <w:r>
        <w:rPr>
          <w:rFonts w:hint="eastAsia" w:ascii="仿宋" w:hAnsi="仿宋" w:eastAsia="仿宋" w:cs="宋体"/>
          <w:kern w:val="0"/>
          <w:sz w:val="24"/>
        </w:rPr>
        <w:t>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hint="eastAsia" w:ascii="仿宋" w:hAnsi="仿宋" w:eastAsia="仿宋" w:cs="宋体"/>
          <w:b/>
          <w:bCs/>
          <w:kern w:val="0"/>
          <w:sz w:val="24"/>
        </w:rPr>
        <w:t>3个月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6"/>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例1：假设客户持有的本理财产品份额为200,000份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rPr>
        <w:t>，客户到期获得的金额为：</w:t>
      </w:r>
      <w:r>
        <w:rPr>
          <w:rFonts w:hint="eastAsia" w:ascii="仿宋" w:hAnsi="仿宋" w:eastAsia="仿宋" w:cs="仿宋"/>
          <w:sz w:val="24"/>
          <w:lang w:val="en-US" w:eastAsia="zh-CN"/>
        </w:rPr>
        <w:t>2</w:t>
      </w:r>
      <w:r>
        <w:rPr>
          <w:rFonts w:ascii="仿宋" w:hAnsi="仿宋" w:eastAsia="仿宋" w:cs="仿宋"/>
          <w:sz w:val="24"/>
        </w:rPr>
        <w:t>00,000*1.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lang w:val="en-US" w:eastAsia="zh-CN"/>
        </w:rPr>
        <w:t>236</w:t>
      </w:r>
      <w:r>
        <w:rPr>
          <w:rFonts w:ascii="仿宋" w:hAnsi="仿宋" w:eastAsia="仿宋" w:cs="仿宋"/>
          <w:sz w:val="24"/>
        </w:rPr>
        <w:t>,000.00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2</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若根据前述超额管理费条款，管理人不收取超额管理费，且产品到期日份额净值为1.0200，则客户获得金额为：200,000*1.0200=204,000.00元。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若根据前述超额管理费条款，管理人不收取超额管理费，且产品到期日份额净值为0.9980，则客户获得金额为：</w:t>
      </w:r>
      <w:r>
        <w:rPr>
          <w:rFonts w:ascii="仿宋" w:hAnsi="仿宋" w:eastAsia="仿宋" w:cs="宋体"/>
          <w:color w:val="000000"/>
          <w:kern w:val="0"/>
          <w:sz w:val="24"/>
        </w:rPr>
        <w:t>2</w:t>
      </w:r>
      <w:r>
        <w:rPr>
          <w:rFonts w:hint="eastAsia" w:ascii="仿宋" w:hAnsi="仿宋" w:eastAsia="仿宋" w:cs="宋体"/>
          <w:color w:val="000000"/>
          <w:kern w:val="0"/>
          <w:sz w:val="24"/>
        </w:rPr>
        <w:t>00,000*0.9980=</w:t>
      </w:r>
      <w:r>
        <w:rPr>
          <w:rFonts w:ascii="仿宋" w:hAnsi="仿宋" w:eastAsia="仿宋" w:cs="宋体"/>
          <w:color w:val="000000"/>
          <w:kern w:val="0"/>
          <w:sz w:val="24"/>
        </w:rPr>
        <w:t>199,600.00</w:t>
      </w:r>
      <w:r>
        <w:rPr>
          <w:rFonts w:hint="eastAsia" w:ascii="仿宋" w:hAnsi="仿宋" w:eastAsia="仿宋" w:cs="宋体"/>
          <w:color w:val="000000"/>
          <w:kern w:val="0"/>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4</w:t>
      </w:r>
      <w:r>
        <w:rPr>
          <w:rFonts w:hint="eastAsia" w:ascii="仿宋" w:hAnsi="仿宋" w:eastAsia="仿宋" w:cs="宋体"/>
          <w:color w:val="000000"/>
          <w:kern w:val="0"/>
          <w:sz w:val="24"/>
        </w:rPr>
        <w:t>：客户在本理财产品的开放日申请购买了100,000元的本理财产品，如购买当日产品的份额净值为1.0110，则该笔购买申请确认后，该笔购买申请对应的理财产品份额为：100,000/1.0110=98,911.9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widowControl/>
        <w:adjustRightInd w:val="0"/>
        <w:snapToGrid w:val="0"/>
        <w:spacing w:line="276" w:lineRule="auto"/>
        <w:ind w:firstLine="420" w:firstLineChars="200"/>
        <w:contextualSpacing/>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6"/>
        <w:snapToGrid w:val="0"/>
        <w:spacing w:line="276" w:lineRule="auto"/>
        <w:ind w:firstLine="480" w:firstLineChars="200"/>
        <w:contextualSpacing/>
        <w:rPr>
          <w:rFonts w:ascii="仿宋" w:hAnsi="仿宋" w:eastAsia="仿宋"/>
        </w:rPr>
      </w:pPr>
    </w:p>
    <w:p>
      <w:pPr>
        <w:pStyle w:val="16"/>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6"/>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6"/>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6"/>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w:t>
      </w:r>
      <w:r>
        <w:rPr>
          <w:rFonts w:hint="eastAsia" w:ascii="Times New Roman" w:eastAsia="黑体" w:cs="Times New Roman"/>
          <w:b/>
          <w:color w:val="auto"/>
        </w:rPr>
        <w:t>除非出现本产品说明书规定的情况，</w:t>
      </w:r>
      <w:r>
        <w:rPr>
          <w:rFonts w:ascii="Times New Roman" w:eastAsia="黑体" w:cs="Times New Roman"/>
          <w:b/>
        </w:rPr>
        <w:t>投资者无权随时</w:t>
      </w:r>
      <w:r>
        <w:rPr>
          <w:rFonts w:eastAsia="黑体"/>
          <w:b/>
        </w:rPr>
        <w:t>提前赎回</w:t>
      </w:r>
      <w:r>
        <w:rPr>
          <w:rFonts w:hint="eastAsia" w:eastAsia="黑体"/>
          <w:b/>
        </w:rPr>
        <w:t>或</w:t>
      </w:r>
      <w:r>
        <w:rPr>
          <w:rFonts w:ascii="Times New Roman" w:eastAsia="黑体" w:cs="Times New Roman"/>
          <w:b/>
        </w:rPr>
        <w:t>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color w:val="auto"/>
        </w:rPr>
        <w:t>可能导致</w:t>
      </w:r>
      <w:r>
        <w:rPr>
          <w:rFonts w:hint="eastAsia" w:eastAsia="黑体"/>
          <w:b/>
        </w:rPr>
        <w:t>投资者</w:t>
      </w:r>
      <w:r>
        <w:rPr>
          <w:rFonts w:hint="eastAsia" w:ascii="Times New Roman" w:eastAsia="黑体" w:cs="Times New Roman"/>
          <w:b/>
          <w:color w:val="auto"/>
        </w:rPr>
        <w:t>需要</w:t>
      </w:r>
      <w:r>
        <w:rPr>
          <w:rFonts w:hint="eastAsia" w:ascii="Times New Roman" w:eastAsia="黑体" w:cs="Times New Roman"/>
          <w:b/>
        </w:rPr>
        <w:t>资金</w:t>
      </w:r>
      <w:r>
        <w:rPr>
          <w:rFonts w:hint="eastAsia" w:ascii="Times New Roman" w:eastAsia="黑体" w:cs="Times New Roman"/>
          <w:b/>
          <w:color w:val="auto"/>
        </w:rPr>
        <w:t>时不能随时变现，并可能丧失其他投资机会</w:t>
      </w:r>
      <w:r>
        <w:rPr>
          <w:rFonts w:ascii="Times New Roman" w:eastAsia="黑体" w:cs="Times New Roman"/>
          <w:b/>
        </w:rPr>
        <w:t>。</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6"/>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6"/>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6"/>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w:t>
      </w:r>
    </w:p>
    <w:p>
      <w:pPr>
        <w:pStyle w:val="16"/>
        <w:snapToGrid w:val="0"/>
        <w:spacing w:line="276" w:lineRule="auto"/>
        <w:ind w:firstLine="482" w:firstLineChars="200"/>
        <w:contextualSpacing/>
        <w:jc w:val="left"/>
        <w:rPr>
          <w:rFonts w:ascii="Times New Roman" w:eastAsia="黑体" w:cs="Times New Roman"/>
          <w:b/>
        </w:rPr>
      </w:pPr>
      <w:r>
        <w:rPr>
          <w:rFonts w:hint="eastAsia" w:ascii="Times New Roman" w:eastAsia="黑体" w:cs="Times New Roman"/>
          <w:b/>
        </w:rPr>
        <w:t>当管理人采用</w:t>
      </w:r>
      <w:r>
        <w:rPr>
          <w:rFonts w:hint="eastAsia" w:ascii="Times New Roman" w:eastAsia="黑体" w:cs="Times New Roman"/>
          <w:b/>
          <w:lang w:val="en-US" w:eastAsia="zh-CN"/>
        </w:rPr>
        <w:t>流动性</w:t>
      </w:r>
      <w:r>
        <w:rPr>
          <w:rFonts w:hint="eastAsia" w:ascii="Times New Roman" w:eastAsia="黑体" w:cs="Times New Roman"/>
          <w:b/>
        </w:rPr>
        <w:t>应对措施时，可能对投资者造成一定的潜在影响，包括但不限于不能认（申）购本理财产品、认（申）购交易全部或部分确认失败等。</w:t>
      </w:r>
    </w:p>
    <w:p>
      <w:pPr>
        <w:pStyle w:val="16"/>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w:t>
      </w:r>
      <w:r>
        <w:rPr>
          <w:rFonts w:hint="eastAsia" w:ascii="仿宋" w:hAnsi="仿宋" w:eastAsia="仿宋" w:cs="宋体"/>
          <w:b/>
          <w:color w:val="000000"/>
          <w:kern w:val="0"/>
          <w:sz w:val="24"/>
          <w:lang w:val="en-US" w:eastAsia="zh-CN"/>
        </w:rPr>
        <w:t>延期、</w:t>
      </w:r>
      <w:r>
        <w:rPr>
          <w:rFonts w:hint="eastAsia" w:ascii="仿宋" w:hAnsi="仿宋" w:eastAsia="仿宋" w:cs="宋体"/>
          <w:b/>
          <w:color w:val="000000"/>
          <w:kern w:val="0"/>
          <w:sz w:val="24"/>
        </w:rPr>
        <w:t>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w:t>
      </w:r>
      <w:r>
        <w:rPr>
          <w:rFonts w:hint="eastAsia" w:ascii="仿宋" w:hAnsi="仿宋" w:eastAsia="仿宋" w:cs="宋体"/>
          <w:color w:val="000000"/>
          <w:kern w:val="0"/>
          <w:sz w:val="24"/>
          <w:lang w:val="en-US" w:eastAsia="zh-CN"/>
        </w:rPr>
        <w:t>管理人</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color w:val="000000"/>
          <w:kern w:val="0"/>
          <w:sz w:val="24"/>
          <w:lang w:val="en-US" w:eastAsia="zh-CN"/>
        </w:rPr>
        <w:t>管理人</w:t>
      </w:r>
      <w:r>
        <w:rPr>
          <w:rFonts w:hint="eastAsia" w:ascii="仿宋" w:hAnsi="仿宋" w:eastAsia="仿宋" w:cs="宋体"/>
          <w:color w:val="000000"/>
          <w:kern w:val="0"/>
          <w:sz w:val="24"/>
        </w:rPr>
        <w:t>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在发生涉及理财产品认（申）购调整等事项时，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172A27"/>
    <w:rsid w:val="0001573B"/>
    <w:rsid w:val="00020F81"/>
    <w:rsid w:val="0004485A"/>
    <w:rsid w:val="00044B7F"/>
    <w:rsid w:val="0004783E"/>
    <w:rsid w:val="00063561"/>
    <w:rsid w:val="000713E1"/>
    <w:rsid w:val="000805E4"/>
    <w:rsid w:val="00085777"/>
    <w:rsid w:val="00092E28"/>
    <w:rsid w:val="000932F8"/>
    <w:rsid w:val="000973A7"/>
    <w:rsid w:val="000A2EE9"/>
    <w:rsid w:val="000A3C07"/>
    <w:rsid w:val="000B2154"/>
    <w:rsid w:val="000B32CF"/>
    <w:rsid w:val="000C3FB4"/>
    <w:rsid w:val="000D002A"/>
    <w:rsid w:val="000D7DE2"/>
    <w:rsid w:val="000E195A"/>
    <w:rsid w:val="00111BDB"/>
    <w:rsid w:val="0011683A"/>
    <w:rsid w:val="001260F4"/>
    <w:rsid w:val="001318D7"/>
    <w:rsid w:val="00141481"/>
    <w:rsid w:val="001423F3"/>
    <w:rsid w:val="00142652"/>
    <w:rsid w:val="00146323"/>
    <w:rsid w:val="00150200"/>
    <w:rsid w:val="00152595"/>
    <w:rsid w:val="00167A6E"/>
    <w:rsid w:val="00170760"/>
    <w:rsid w:val="00172A27"/>
    <w:rsid w:val="00191695"/>
    <w:rsid w:val="001B29E5"/>
    <w:rsid w:val="001B2C46"/>
    <w:rsid w:val="001B453B"/>
    <w:rsid w:val="001E4307"/>
    <w:rsid w:val="001F21AD"/>
    <w:rsid w:val="001F22F3"/>
    <w:rsid w:val="001F4C9F"/>
    <w:rsid w:val="00203B96"/>
    <w:rsid w:val="002058B3"/>
    <w:rsid w:val="00214B23"/>
    <w:rsid w:val="00216CAD"/>
    <w:rsid w:val="002473CD"/>
    <w:rsid w:val="00265998"/>
    <w:rsid w:val="00293AA7"/>
    <w:rsid w:val="00294355"/>
    <w:rsid w:val="002A2967"/>
    <w:rsid w:val="002A2FEF"/>
    <w:rsid w:val="002C49D2"/>
    <w:rsid w:val="002C7F16"/>
    <w:rsid w:val="002D6897"/>
    <w:rsid w:val="002E5919"/>
    <w:rsid w:val="002E7F9D"/>
    <w:rsid w:val="00311EF5"/>
    <w:rsid w:val="003248AF"/>
    <w:rsid w:val="00351C38"/>
    <w:rsid w:val="003522B1"/>
    <w:rsid w:val="00365E5C"/>
    <w:rsid w:val="00367563"/>
    <w:rsid w:val="00377A00"/>
    <w:rsid w:val="003923B3"/>
    <w:rsid w:val="003B43C0"/>
    <w:rsid w:val="003C0388"/>
    <w:rsid w:val="003C51E8"/>
    <w:rsid w:val="003D55AF"/>
    <w:rsid w:val="003D65A8"/>
    <w:rsid w:val="003E4BEB"/>
    <w:rsid w:val="003F5AF4"/>
    <w:rsid w:val="003F6114"/>
    <w:rsid w:val="004021F4"/>
    <w:rsid w:val="00415D67"/>
    <w:rsid w:val="0042748A"/>
    <w:rsid w:val="0043490E"/>
    <w:rsid w:val="00440344"/>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0241"/>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D5D95"/>
    <w:rsid w:val="007F32C1"/>
    <w:rsid w:val="00806E94"/>
    <w:rsid w:val="008137C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F85"/>
    <w:rsid w:val="008E0C40"/>
    <w:rsid w:val="008F4F4B"/>
    <w:rsid w:val="008F6891"/>
    <w:rsid w:val="00902123"/>
    <w:rsid w:val="00916782"/>
    <w:rsid w:val="009267C7"/>
    <w:rsid w:val="00971A91"/>
    <w:rsid w:val="00972105"/>
    <w:rsid w:val="00991FA8"/>
    <w:rsid w:val="009941FD"/>
    <w:rsid w:val="009A3572"/>
    <w:rsid w:val="009A3901"/>
    <w:rsid w:val="009A5350"/>
    <w:rsid w:val="009C0A85"/>
    <w:rsid w:val="009C16E3"/>
    <w:rsid w:val="009C4B76"/>
    <w:rsid w:val="009C5840"/>
    <w:rsid w:val="009D2DEB"/>
    <w:rsid w:val="009E5B9B"/>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D7FE0"/>
    <w:rsid w:val="00AE1B0B"/>
    <w:rsid w:val="00AF3F07"/>
    <w:rsid w:val="00B0003E"/>
    <w:rsid w:val="00B07647"/>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47FE"/>
    <w:rsid w:val="00D06C20"/>
    <w:rsid w:val="00D071A1"/>
    <w:rsid w:val="00D31F9E"/>
    <w:rsid w:val="00D32516"/>
    <w:rsid w:val="00D3392B"/>
    <w:rsid w:val="00D34745"/>
    <w:rsid w:val="00D36D2F"/>
    <w:rsid w:val="00D65353"/>
    <w:rsid w:val="00D71E38"/>
    <w:rsid w:val="00D86E74"/>
    <w:rsid w:val="00D87E03"/>
    <w:rsid w:val="00D919BF"/>
    <w:rsid w:val="00DA36BD"/>
    <w:rsid w:val="00DC3F67"/>
    <w:rsid w:val="00DC602D"/>
    <w:rsid w:val="00DD6242"/>
    <w:rsid w:val="00DE1921"/>
    <w:rsid w:val="00DE2987"/>
    <w:rsid w:val="00DF0967"/>
    <w:rsid w:val="00E10453"/>
    <w:rsid w:val="00E11E4D"/>
    <w:rsid w:val="00E15373"/>
    <w:rsid w:val="00E44569"/>
    <w:rsid w:val="00E46D53"/>
    <w:rsid w:val="00E64B82"/>
    <w:rsid w:val="00E816F5"/>
    <w:rsid w:val="00E879FF"/>
    <w:rsid w:val="00E95A0F"/>
    <w:rsid w:val="00E96699"/>
    <w:rsid w:val="00EB07F6"/>
    <w:rsid w:val="00EE1D7F"/>
    <w:rsid w:val="00EE7A2F"/>
    <w:rsid w:val="00F1550F"/>
    <w:rsid w:val="00F15940"/>
    <w:rsid w:val="00F239DB"/>
    <w:rsid w:val="00F36652"/>
    <w:rsid w:val="00F37C88"/>
    <w:rsid w:val="00F444A8"/>
    <w:rsid w:val="00F56D69"/>
    <w:rsid w:val="00F9415B"/>
    <w:rsid w:val="00F96177"/>
    <w:rsid w:val="00FA5902"/>
    <w:rsid w:val="00FB6FB2"/>
    <w:rsid w:val="00FC1677"/>
    <w:rsid w:val="00FD2903"/>
    <w:rsid w:val="00FE1291"/>
    <w:rsid w:val="00FE482B"/>
    <w:rsid w:val="00FF56AD"/>
    <w:rsid w:val="010304E8"/>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9E63499"/>
    <w:rsid w:val="0A0F44CD"/>
    <w:rsid w:val="0A2F0E4D"/>
    <w:rsid w:val="0AA97A8C"/>
    <w:rsid w:val="0B047D48"/>
    <w:rsid w:val="0B731F2A"/>
    <w:rsid w:val="0B9C5D9B"/>
    <w:rsid w:val="0BA27F6B"/>
    <w:rsid w:val="0C490CC3"/>
    <w:rsid w:val="0C510FA4"/>
    <w:rsid w:val="0C932A03"/>
    <w:rsid w:val="0C9E0C22"/>
    <w:rsid w:val="0C9E5955"/>
    <w:rsid w:val="0D511F69"/>
    <w:rsid w:val="0DC52C23"/>
    <w:rsid w:val="0DC653B7"/>
    <w:rsid w:val="0DF70178"/>
    <w:rsid w:val="0E247DD8"/>
    <w:rsid w:val="0E3C3C0F"/>
    <w:rsid w:val="0E8143FC"/>
    <w:rsid w:val="0EBE477B"/>
    <w:rsid w:val="0F2862EC"/>
    <w:rsid w:val="0F6D0551"/>
    <w:rsid w:val="0FD93279"/>
    <w:rsid w:val="0FE53808"/>
    <w:rsid w:val="10DF1F90"/>
    <w:rsid w:val="117C0D4E"/>
    <w:rsid w:val="11B162FD"/>
    <w:rsid w:val="11BB3DB9"/>
    <w:rsid w:val="11CB222C"/>
    <w:rsid w:val="11D21B30"/>
    <w:rsid w:val="11F47F2F"/>
    <w:rsid w:val="121940A5"/>
    <w:rsid w:val="123B658C"/>
    <w:rsid w:val="12745A53"/>
    <w:rsid w:val="12756877"/>
    <w:rsid w:val="12CD4972"/>
    <w:rsid w:val="12FA2A1E"/>
    <w:rsid w:val="12FB08EA"/>
    <w:rsid w:val="142741A0"/>
    <w:rsid w:val="144B618F"/>
    <w:rsid w:val="1469754C"/>
    <w:rsid w:val="149C2737"/>
    <w:rsid w:val="14F71E23"/>
    <w:rsid w:val="14FD2EFF"/>
    <w:rsid w:val="14FF7580"/>
    <w:rsid w:val="15290B88"/>
    <w:rsid w:val="152A1DB0"/>
    <w:rsid w:val="155D4436"/>
    <w:rsid w:val="16002490"/>
    <w:rsid w:val="16457F02"/>
    <w:rsid w:val="16800450"/>
    <w:rsid w:val="169510B8"/>
    <w:rsid w:val="16DD4AF1"/>
    <w:rsid w:val="170A0D35"/>
    <w:rsid w:val="17322FFC"/>
    <w:rsid w:val="174C5C47"/>
    <w:rsid w:val="178D27B4"/>
    <w:rsid w:val="17CA3868"/>
    <w:rsid w:val="182014A2"/>
    <w:rsid w:val="18294E04"/>
    <w:rsid w:val="187F0D01"/>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812996"/>
    <w:rsid w:val="1D941E49"/>
    <w:rsid w:val="1D964AA9"/>
    <w:rsid w:val="1DD036B2"/>
    <w:rsid w:val="1DD4275F"/>
    <w:rsid w:val="1E356AFA"/>
    <w:rsid w:val="1E724912"/>
    <w:rsid w:val="1FA62A14"/>
    <w:rsid w:val="1FC2672F"/>
    <w:rsid w:val="201D0297"/>
    <w:rsid w:val="204A0870"/>
    <w:rsid w:val="20C822D8"/>
    <w:rsid w:val="20E61260"/>
    <w:rsid w:val="22086EAE"/>
    <w:rsid w:val="220D5EC8"/>
    <w:rsid w:val="223431B1"/>
    <w:rsid w:val="22C149FC"/>
    <w:rsid w:val="22F1518B"/>
    <w:rsid w:val="238C25BD"/>
    <w:rsid w:val="2476767C"/>
    <w:rsid w:val="24A91031"/>
    <w:rsid w:val="24B96681"/>
    <w:rsid w:val="24BD22AA"/>
    <w:rsid w:val="25152CD3"/>
    <w:rsid w:val="25E72FA7"/>
    <w:rsid w:val="25FC6460"/>
    <w:rsid w:val="260555E3"/>
    <w:rsid w:val="26C402B0"/>
    <w:rsid w:val="26D15FFB"/>
    <w:rsid w:val="273147E4"/>
    <w:rsid w:val="27487015"/>
    <w:rsid w:val="27A84C42"/>
    <w:rsid w:val="28347384"/>
    <w:rsid w:val="287A4275"/>
    <w:rsid w:val="28B70DC9"/>
    <w:rsid w:val="28FB5AC8"/>
    <w:rsid w:val="29711978"/>
    <w:rsid w:val="298634AE"/>
    <w:rsid w:val="29A17B31"/>
    <w:rsid w:val="2A4B1A28"/>
    <w:rsid w:val="2A567387"/>
    <w:rsid w:val="2A66542F"/>
    <w:rsid w:val="2B320625"/>
    <w:rsid w:val="2B3649F4"/>
    <w:rsid w:val="2B3A7D52"/>
    <w:rsid w:val="2B4675FA"/>
    <w:rsid w:val="2BB602C5"/>
    <w:rsid w:val="2BD85FC4"/>
    <w:rsid w:val="2BE937E9"/>
    <w:rsid w:val="2BF50AB4"/>
    <w:rsid w:val="2BFA0E70"/>
    <w:rsid w:val="2C1063DB"/>
    <w:rsid w:val="2CDB7E63"/>
    <w:rsid w:val="2D434FF8"/>
    <w:rsid w:val="2DA05DCE"/>
    <w:rsid w:val="2E28390A"/>
    <w:rsid w:val="2E3A430A"/>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0A495A"/>
    <w:rsid w:val="332573C9"/>
    <w:rsid w:val="338406B7"/>
    <w:rsid w:val="34477241"/>
    <w:rsid w:val="34854AB1"/>
    <w:rsid w:val="34A63F82"/>
    <w:rsid w:val="34DE074D"/>
    <w:rsid w:val="350A7012"/>
    <w:rsid w:val="36003080"/>
    <w:rsid w:val="360161F0"/>
    <w:rsid w:val="36050641"/>
    <w:rsid w:val="36365F0F"/>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D2A5959"/>
    <w:rsid w:val="3D3B3330"/>
    <w:rsid w:val="3E145256"/>
    <w:rsid w:val="3F7A3BA7"/>
    <w:rsid w:val="3F857305"/>
    <w:rsid w:val="3F9148EF"/>
    <w:rsid w:val="3F996600"/>
    <w:rsid w:val="3FB51C43"/>
    <w:rsid w:val="4071483C"/>
    <w:rsid w:val="40897331"/>
    <w:rsid w:val="40A300AE"/>
    <w:rsid w:val="40DD3147"/>
    <w:rsid w:val="41450ED1"/>
    <w:rsid w:val="419803FF"/>
    <w:rsid w:val="41A75327"/>
    <w:rsid w:val="41DE07D6"/>
    <w:rsid w:val="425932C8"/>
    <w:rsid w:val="42726493"/>
    <w:rsid w:val="434F08E3"/>
    <w:rsid w:val="436469F4"/>
    <w:rsid w:val="43892EA1"/>
    <w:rsid w:val="44181054"/>
    <w:rsid w:val="44713CC4"/>
    <w:rsid w:val="44866415"/>
    <w:rsid w:val="44C2436C"/>
    <w:rsid w:val="44D90650"/>
    <w:rsid w:val="45225B34"/>
    <w:rsid w:val="453F0192"/>
    <w:rsid w:val="454247FC"/>
    <w:rsid w:val="45C2437E"/>
    <w:rsid w:val="464740FB"/>
    <w:rsid w:val="46945BA3"/>
    <w:rsid w:val="469C1860"/>
    <w:rsid w:val="46EB55F0"/>
    <w:rsid w:val="47194283"/>
    <w:rsid w:val="475F6725"/>
    <w:rsid w:val="47793EB8"/>
    <w:rsid w:val="48100387"/>
    <w:rsid w:val="48513732"/>
    <w:rsid w:val="486C54E8"/>
    <w:rsid w:val="489B5294"/>
    <w:rsid w:val="489F1960"/>
    <w:rsid w:val="48A26DA2"/>
    <w:rsid w:val="48A8042C"/>
    <w:rsid w:val="492F3120"/>
    <w:rsid w:val="4A646C71"/>
    <w:rsid w:val="4A974BFD"/>
    <w:rsid w:val="4AB7027F"/>
    <w:rsid w:val="4AC53274"/>
    <w:rsid w:val="4B23478E"/>
    <w:rsid w:val="4B2D4C5E"/>
    <w:rsid w:val="4B353D3D"/>
    <w:rsid w:val="4B3D2C38"/>
    <w:rsid w:val="4B9A6CD9"/>
    <w:rsid w:val="4BCC0D7F"/>
    <w:rsid w:val="4C550775"/>
    <w:rsid w:val="4CC42E4B"/>
    <w:rsid w:val="4DA84AC9"/>
    <w:rsid w:val="4E006899"/>
    <w:rsid w:val="4E411F26"/>
    <w:rsid w:val="4E4604CC"/>
    <w:rsid w:val="4E6B607B"/>
    <w:rsid w:val="4E700033"/>
    <w:rsid w:val="4E712B50"/>
    <w:rsid w:val="4E752E99"/>
    <w:rsid w:val="4E7E67D5"/>
    <w:rsid w:val="4EE704C2"/>
    <w:rsid w:val="4F6E3CC3"/>
    <w:rsid w:val="4FAC2EBB"/>
    <w:rsid w:val="500E49CD"/>
    <w:rsid w:val="500F1CD5"/>
    <w:rsid w:val="5019557F"/>
    <w:rsid w:val="506B6199"/>
    <w:rsid w:val="50FA2C7C"/>
    <w:rsid w:val="511D25A1"/>
    <w:rsid w:val="51713776"/>
    <w:rsid w:val="517D38BF"/>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10727"/>
    <w:rsid w:val="53DF5628"/>
    <w:rsid w:val="541B571E"/>
    <w:rsid w:val="542D096E"/>
    <w:rsid w:val="543F0EC5"/>
    <w:rsid w:val="56306E56"/>
    <w:rsid w:val="56444969"/>
    <w:rsid w:val="56EF513F"/>
    <w:rsid w:val="57C82F28"/>
    <w:rsid w:val="57F70DED"/>
    <w:rsid w:val="58083A83"/>
    <w:rsid w:val="581B10FA"/>
    <w:rsid w:val="582156EE"/>
    <w:rsid w:val="58427747"/>
    <w:rsid w:val="584369EC"/>
    <w:rsid w:val="58662BA5"/>
    <w:rsid w:val="58BB4CDB"/>
    <w:rsid w:val="58F96B51"/>
    <w:rsid w:val="59185B61"/>
    <w:rsid w:val="596A4423"/>
    <w:rsid w:val="596C0E57"/>
    <w:rsid w:val="59AD702D"/>
    <w:rsid w:val="59D14CC4"/>
    <w:rsid w:val="59D217EB"/>
    <w:rsid w:val="59E7688C"/>
    <w:rsid w:val="59FF73A2"/>
    <w:rsid w:val="5A945937"/>
    <w:rsid w:val="5AA340C2"/>
    <w:rsid w:val="5AB6501F"/>
    <w:rsid w:val="5B9E1D5B"/>
    <w:rsid w:val="5BA64252"/>
    <w:rsid w:val="5BCB323C"/>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210426E"/>
    <w:rsid w:val="625C0D00"/>
    <w:rsid w:val="62832265"/>
    <w:rsid w:val="62B00797"/>
    <w:rsid w:val="62CA41E4"/>
    <w:rsid w:val="63110999"/>
    <w:rsid w:val="63216D47"/>
    <w:rsid w:val="63510BEE"/>
    <w:rsid w:val="638119A8"/>
    <w:rsid w:val="642D51FD"/>
    <w:rsid w:val="642E3652"/>
    <w:rsid w:val="644E4B1D"/>
    <w:rsid w:val="64651B49"/>
    <w:rsid w:val="6500463F"/>
    <w:rsid w:val="65107CC1"/>
    <w:rsid w:val="651D3A26"/>
    <w:rsid w:val="652C5EC9"/>
    <w:rsid w:val="65353764"/>
    <w:rsid w:val="65630C3D"/>
    <w:rsid w:val="656477F9"/>
    <w:rsid w:val="656520E7"/>
    <w:rsid w:val="657C7424"/>
    <w:rsid w:val="65954E3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6A1A47"/>
    <w:rsid w:val="6B832B04"/>
    <w:rsid w:val="6BD916EE"/>
    <w:rsid w:val="6C0C14F7"/>
    <w:rsid w:val="6C194573"/>
    <w:rsid w:val="6CCA1A7F"/>
    <w:rsid w:val="6DD805CD"/>
    <w:rsid w:val="6E035291"/>
    <w:rsid w:val="6E1206A4"/>
    <w:rsid w:val="6E306FE2"/>
    <w:rsid w:val="6E5A3D7E"/>
    <w:rsid w:val="6EBA7775"/>
    <w:rsid w:val="6F795870"/>
    <w:rsid w:val="6F873A86"/>
    <w:rsid w:val="6F992C36"/>
    <w:rsid w:val="703933A1"/>
    <w:rsid w:val="704E185C"/>
    <w:rsid w:val="70683634"/>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3974230"/>
    <w:rsid w:val="73E466A0"/>
    <w:rsid w:val="745751F5"/>
    <w:rsid w:val="74892FD1"/>
    <w:rsid w:val="74FB18F9"/>
    <w:rsid w:val="751B2B76"/>
    <w:rsid w:val="75616560"/>
    <w:rsid w:val="758A42D6"/>
    <w:rsid w:val="75F14B52"/>
    <w:rsid w:val="75F7796D"/>
    <w:rsid w:val="75F80517"/>
    <w:rsid w:val="75F95482"/>
    <w:rsid w:val="762B2264"/>
    <w:rsid w:val="7633094E"/>
    <w:rsid w:val="763D3893"/>
    <w:rsid w:val="766248A9"/>
    <w:rsid w:val="76C57715"/>
    <w:rsid w:val="76D0751B"/>
    <w:rsid w:val="76E27EE7"/>
    <w:rsid w:val="76E6192C"/>
    <w:rsid w:val="771479EA"/>
    <w:rsid w:val="771C35A1"/>
    <w:rsid w:val="7730512A"/>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CEA207E"/>
    <w:rsid w:val="7DAD733C"/>
    <w:rsid w:val="7E431677"/>
    <w:rsid w:val="7E5572E2"/>
    <w:rsid w:val="7E871182"/>
    <w:rsid w:val="7E9D3347"/>
    <w:rsid w:val="7ED67996"/>
    <w:rsid w:val="7EFE58EB"/>
    <w:rsid w:val="7F0171EB"/>
    <w:rsid w:val="7F116F65"/>
    <w:rsid w:val="7F142C0D"/>
    <w:rsid w:val="7F516160"/>
    <w:rsid w:val="7FD45F9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1">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character" w:styleId="12">
    <w:name w:val="annotation reference"/>
    <w:qFormat/>
    <w:uiPriority w:val="0"/>
    <w:rPr>
      <w:sz w:val="21"/>
      <w:szCs w:val="21"/>
    </w:rPr>
  </w:style>
  <w:style w:type="table" w:styleId="14">
    <w:name w:val="Table Grid"/>
    <w:basedOn w:val="13"/>
    <w:unhideWhenUsed/>
    <w:qFormat/>
    <w:uiPriority w:val="0"/>
    <w:pPr>
      <w:widowControl w:val="0"/>
      <w:jc w:val="both"/>
    </w:pPr>
    <w:rPr>
      <w:rFonts w:eastAsia="Times New Roman"/>
    </w:r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18">
    <w:name w:val="p0"/>
    <w:basedOn w:val="1"/>
    <w:qFormat/>
    <w:uiPriority w:val="0"/>
    <w:pPr>
      <w:widowControl/>
    </w:pPr>
    <w:rPr>
      <w:kern w:val="0"/>
      <w:szCs w:val="21"/>
    </w:rPr>
  </w:style>
  <w:style w:type="paragraph" w:customStyle="1" w:styleId="1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1">
    <w:name w:val="font11"/>
    <w:qFormat/>
    <w:uiPriority w:val="0"/>
    <w:rPr>
      <w:rFonts w:hint="default" w:ascii="微软简仿宋" w:hAnsi="微软简仿宋" w:eastAsia="微软简仿宋" w:cs="微软简仿宋"/>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2744</Words>
  <Characters>15646</Characters>
  <Lines>130</Lines>
  <Paragraphs>36</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2023-03-29T07:48:00Z</dcterms:created>
  <dc:creator>ylh</dc:creator>
  <cp:keywords>23-4</cp:keywords>
  <cp:lastModifiedBy>RORO</cp:lastModifiedBy>
  <cp:lastPrinted>2022-09-13T10:17:00Z</cp:lastPrinted>
  <dcterms:modified xsi:type="dcterms:W3CDTF">2023-06-29T01:37:52Z</dcterms:modified>
  <dc:title>华夏理财悦享两年期</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