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bookmarkStart w:id="6" w:name="_GoBack"/>
      <w:bookmarkEnd w:id="6"/>
      <w:r>
        <w:rPr>
          <w:rFonts w:hint="eastAsia" w:eastAsia="黑体"/>
          <w:bCs/>
          <w:sz w:val="36"/>
          <w:szCs w:val="36"/>
        </w:rPr>
        <w:t>华夏理财固定收益债权型封闭式理财产品1</w:t>
      </w:r>
      <w:r>
        <w:rPr>
          <w:rFonts w:hint="eastAsia" w:eastAsia="黑体"/>
          <w:bCs/>
          <w:sz w:val="36"/>
          <w:szCs w:val="36"/>
          <w:lang w:val="en-US" w:eastAsia="zh-CN"/>
        </w:rPr>
        <w:t>41</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3"/>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3"/>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华夏理财固定收益债权型封闭式理财产品1</w:t>
            </w:r>
            <w:r>
              <w:rPr>
                <w:rFonts w:hint="eastAsia" w:ascii="仿宋" w:hAnsi="仿宋" w:eastAsia="仿宋"/>
                <w:b/>
                <w:bCs/>
                <w:szCs w:val="21"/>
                <w:lang w:val="en-US" w:eastAsia="zh-CN"/>
              </w:rPr>
              <w:t>41</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A份额简称：“华夏理财固收债权封闭式1</w:t>
            </w:r>
            <w:r>
              <w:rPr>
                <w:rFonts w:hint="eastAsia" w:ascii="仿宋" w:hAnsi="仿宋" w:eastAsia="仿宋"/>
                <w:b/>
                <w:bCs/>
                <w:szCs w:val="21"/>
                <w:lang w:val="en-US" w:eastAsia="zh-CN"/>
              </w:rPr>
              <w:t>41</w:t>
            </w:r>
            <w:r>
              <w:rPr>
                <w:rFonts w:hint="eastAsia" w:ascii="仿宋" w:hAnsi="仿宋" w:eastAsia="仿宋"/>
                <w:b/>
                <w:bCs/>
                <w:szCs w:val="21"/>
              </w:rPr>
              <w:t>号</w:t>
            </w:r>
            <w:r>
              <w:rPr>
                <w:rFonts w:hint="eastAsia" w:ascii="仿宋" w:hAnsi="仿宋" w:eastAsia="仿宋"/>
                <w:b/>
                <w:bCs/>
                <w:szCs w:val="21"/>
                <w:lang w:val="en-US" w:eastAsia="zh-CN"/>
              </w:rPr>
              <w:t>398</w:t>
            </w:r>
            <w:r>
              <w:rPr>
                <w:rFonts w:hint="eastAsia" w:ascii="仿宋" w:hAnsi="仿宋" w:eastAsia="仿宋"/>
                <w:b/>
                <w:bCs/>
                <w:szCs w:val="21"/>
              </w:rPr>
              <w:t>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B份额简称：“华夏理财固收债权封闭式1</w:t>
            </w:r>
            <w:r>
              <w:rPr>
                <w:rFonts w:hint="eastAsia" w:ascii="仿宋" w:hAnsi="仿宋" w:eastAsia="仿宋"/>
                <w:b/>
                <w:bCs/>
                <w:szCs w:val="21"/>
                <w:lang w:val="en-US" w:eastAsia="zh-CN"/>
              </w:rPr>
              <w:t>41</w:t>
            </w:r>
            <w:r>
              <w:rPr>
                <w:rFonts w:hint="eastAsia" w:ascii="仿宋" w:hAnsi="仿宋" w:eastAsia="仿宋"/>
                <w:b/>
                <w:bCs/>
                <w:szCs w:val="21"/>
              </w:rPr>
              <w:t>号</w:t>
            </w:r>
            <w:r>
              <w:rPr>
                <w:rFonts w:hint="eastAsia" w:ascii="仿宋" w:hAnsi="仿宋" w:eastAsia="仿宋"/>
                <w:b/>
                <w:bCs/>
                <w:szCs w:val="21"/>
                <w:lang w:val="en-US" w:eastAsia="zh-CN"/>
              </w:rPr>
              <w:t>398</w:t>
            </w:r>
            <w:r>
              <w:rPr>
                <w:rFonts w:hint="eastAsia" w:ascii="仿宋" w:hAnsi="仿宋" w:eastAsia="仿宋"/>
                <w:b/>
                <w:bCs/>
                <w:szCs w:val="21"/>
              </w:rPr>
              <w:t>天</w:t>
            </w:r>
            <w:r>
              <w:rPr>
                <w:rFonts w:hint="eastAsia" w:ascii="仿宋" w:hAnsi="仿宋" w:eastAsia="仿宋"/>
                <w:b/>
                <w:bCs/>
                <w:szCs w:val="21"/>
                <w:lang w:val="en-US" w:eastAsia="zh-CN"/>
              </w:rPr>
              <w:t>B</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231211</w:t>
            </w:r>
            <w:r>
              <w:rPr>
                <w:rFonts w:hint="eastAsia" w:ascii="仿宋" w:hAnsi="仿宋" w:eastAsia="仿宋"/>
                <w:bCs/>
                <w:szCs w:val="21"/>
                <w:lang w:val="en-US" w:eastAsia="zh-CN"/>
              </w:rPr>
              <w:t>41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231211</w:t>
            </w:r>
            <w:r>
              <w:rPr>
                <w:rFonts w:hint="eastAsia" w:ascii="仿宋" w:hAnsi="仿宋" w:eastAsia="仿宋"/>
                <w:bCs/>
                <w:szCs w:val="21"/>
                <w:lang w:val="en-US" w:eastAsia="zh-CN"/>
              </w:rPr>
              <w:t>41</w:t>
            </w:r>
            <w:r>
              <w:rPr>
                <w:rFonts w:hint="eastAsia" w:ascii="仿宋" w:hAnsi="仿宋" w:eastAsia="仿宋"/>
                <w:bCs/>
                <w:szCs w:val="21"/>
              </w:rPr>
              <w:t>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rPr>
              <w:t>B份额代码：</w:t>
            </w:r>
            <w:r>
              <w:rPr>
                <w:rFonts w:ascii="仿宋" w:hAnsi="仿宋" w:eastAsia="仿宋"/>
                <w:bCs/>
                <w:szCs w:val="21"/>
              </w:rPr>
              <w:t>231211</w:t>
            </w:r>
            <w:r>
              <w:rPr>
                <w:rFonts w:hint="eastAsia" w:ascii="仿宋" w:hAnsi="仿宋" w:eastAsia="仿宋"/>
                <w:bCs/>
                <w:szCs w:val="21"/>
                <w:lang w:val="en-US" w:eastAsia="zh-CN"/>
              </w:rPr>
              <w:t>41</w:t>
            </w:r>
            <w:r>
              <w:rPr>
                <w:rFonts w:hint="eastAsia" w:ascii="仿宋" w:hAnsi="仿宋" w:eastAsia="仿宋"/>
                <w:bCs/>
                <w:szCs w:val="21"/>
              </w:rPr>
              <w:t>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w:t>
            </w:r>
            <w:r>
              <w:rPr>
                <w:rFonts w:hint="eastAsia" w:ascii="仿宋" w:hAnsi="仿宋" w:eastAsia="仿宋"/>
                <w:bCs/>
                <w:szCs w:val="21"/>
                <w:lang w:val="en-US" w:eastAsia="zh-CN"/>
              </w:rPr>
              <w:t>273</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A份额：业绩比较基准为</w:t>
            </w:r>
            <w:r>
              <w:rPr>
                <w:rFonts w:hint="eastAsia" w:ascii="仿宋" w:hAnsi="仿宋" w:eastAsia="仿宋" w:cs="Cambria"/>
                <w:bCs/>
                <w:szCs w:val="21"/>
                <w:lang w:val="en-US" w:eastAsia="zh-CN"/>
              </w:rPr>
              <w:t>3.80%</w:t>
            </w:r>
            <w:r>
              <w:rPr>
                <w:rFonts w:hint="eastAsia" w:ascii="仿宋" w:hAnsi="仿宋" w:eastAsia="仿宋" w:cs="Cambria"/>
                <w:bCs/>
                <w:szCs w:val="21"/>
              </w:rPr>
              <w:t>（年化）;B份额：业绩比较基准为</w:t>
            </w:r>
            <w:r>
              <w:rPr>
                <w:rFonts w:hint="eastAsia" w:ascii="仿宋" w:hAnsi="仿宋" w:eastAsia="仿宋" w:cs="Cambria"/>
                <w:bCs/>
                <w:szCs w:val="21"/>
                <w:lang w:val="en-US" w:eastAsia="zh-CN"/>
              </w:rPr>
              <w:t>3.65</w:t>
            </w:r>
            <w:r>
              <w:rPr>
                <w:rFonts w:hint="eastAsia" w:ascii="仿宋" w:hAnsi="仿宋" w:eastAsia="仿宋" w:cs="Cambria"/>
                <w:bCs/>
                <w:szCs w:val="21"/>
              </w:rPr>
              <w:t>%（年化）。</w:t>
            </w:r>
            <w:r>
              <w:rPr>
                <w:rFonts w:hint="eastAsia" w:ascii="仿宋" w:hAnsi="仿宋" w:eastAsia="仿宋" w:cs="Cambria"/>
                <w:bCs/>
                <w:i w:val="0"/>
                <w:iCs w:val="0"/>
                <w:szCs w:val="21"/>
                <w:highlight w:val="none"/>
              </w:rPr>
              <w:t>以产品投资债券类资产仓位</w:t>
            </w:r>
            <w:r>
              <w:rPr>
                <w:rFonts w:hint="eastAsia" w:ascii="仿宋" w:hAnsi="仿宋" w:eastAsia="仿宋" w:cs="Cambria"/>
                <w:bCs/>
                <w:i w:val="0"/>
                <w:iCs w:val="0"/>
                <w:szCs w:val="21"/>
                <w:highlight w:val="none"/>
                <w:lang w:val="en-US" w:eastAsia="zh-CN"/>
              </w:rPr>
              <w:t>55</w:t>
            </w:r>
            <w:r>
              <w:rPr>
                <w:rFonts w:hint="eastAsia" w:ascii="仿宋" w:hAnsi="仿宋" w:eastAsia="仿宋" w:cs="Cambria"/>
                <w:bCs/>
                <w:i w:val="0"/>
                <w:iCs w:val="0"/>
                <w:szCs w:val="21"/>
                <w:highlight w:val="none"/>
              </w:rPr>
              <w:t>%-100%，非标债权类资产仓位0-4</w:t>
            </w:r>
            <w:r>
              <w:rPr>
                <w:rFonts w:hint="eastAsia" w:ascii="仿宋" w:hAnsi="仿宋" w:eastAsia="仿宋" w:cs="Cambria"/>
                <w:bCs/>
                <w:i w:val="0"/>
                <w:iCs w:val="0"/>
                <w:szCs w:val="21"/>
                <w:highlight w:val="none"/>
                <w:lang w:val="en-US" w:eastAsia="zh-CN"/>
              </w:rPr>
              <w:t>5</w:t>
            </w:r>
            <w:r>
              <w:rPr>
                <w:rFonts w:hint="eastAsia" w:ascii="仿宋" w:hAnsi="仿宋" w:eastAsia="仿宋" w:cs="Cambria"/>
                <w:bCs/>
                <w:i w:val="0"/>
                <w:iCs w:val="0"/>
                <w:szCs w:val="21"/>
                <w:highlight w:val="none"/>
              </w:rPr>
              <w:t>%，组合杠杆率100%-1</w:t>
            </w:r>
            <w:r>
              <w:rPr>
                <w:rFonts w:hint="eastAsia" w:ascii="仿宋" w:hAnsi="仿宋" w:eastAsia="仿宋" w:cs="Cambria"/>
                <w:bCs/>
                <w:i w:val="0"/>
                <w:iCs w:val="0"/>
                <w:szCs w:val="21"/>
                <w:highlight w:val="none"/>
                <w:lang w:eastAsia="zh-CN"/>
              </w:rPr>
              <w:t>4</w:t>
            </w:r>
            <w:r>
              <w:rPr>
                <w:rFonts w:hint="eastAsia" w:ascii="仿宋" w:hAnsi="仿宋" w:eastAsia="仿宋" w:cs="Cambria"/>
                <w:bCs/>
                <w:i w:val="0"/>
                <w:iCs w:val="0"/>
                <w:szCs w:val="21"/>
                <w:highlight w:val="none"/>
              </w:rPr>
              <w:t>0%为例，参考符合久期要求的目标债券到期收益率、非标债权类资产目标收益率，结合产品久期控制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OLE_LINK2" w:colFirst="1" w:colLast="1"/>
            <w:bookmarkStart w:id="2" w:name="OLE_LINK3" w:colFirst="1" w:colLast="1"/>
            <w:bookmarkStart w:id="3"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12</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18</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19</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398</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2024年</w:t>
            </w:r>
            <w:r>
              <w:rPr>
                <w:rFonts w:hint="eastAsia" w:ascii="仿宋" w:hAnsi="仿宋" w:eastAsia="仿宋"/>
                <w:bCs/>
                <w:szCs w:val="21"/>
                <w:lang w:val="en-US" w:eastAsia="zh-CN"/>
              </w:rPr>
              <w:t>8</w:t>
            </w:r>
            <w:r>
              <w:rPr>
                <w:rFonts w:hint="eastAsia" w:ascii="仿宋" w:hAnsi="仿宋" w:eastAsia="仿宋"/>
                <w:bCs/>
                <w:szCs w:val="21"/>
              </w:rPr>
              <w:t>月</w:t>
            </w:r>
            <w:r>
              <w:rPr>
                <w:rFonts w:hint="eastAsia" w:ascii="仿宋" w:hAnsi="仿宋" w:eastAsia="仿宋"/>
                <w:bCs/>
                <w:szCs w:val="21"/>
                <w:lang w:val="en-US" w:eastAsia="zh-CN"/>
              </w:rPr>
              <w:t>20</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lang w:val="en-US" w:eastAsia="zh-CN"/>
              </w:rPr>
              <w:t>2</w:t>
            </w:r>
            <w:r>
              <w:rPr>
                <w:rFonts w:ascii="仿宋" w:hAnsi="仿宋" w:eastAsia="仿宋"/>
                <w:bCs/>
                <w:szCs w:val="21"/>
              </w:rPr>
              <w:t>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rPr>
              <w:t>B份额：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F=E×【0.03%】</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
                <w:bCs w:val="0"/>
                <w:szCs w:val="21"/>
              </w:rPr>
            </w:pPr>
            <w:r>
              <w:rPr>
                <w:rFonts w:hint="eastAsia" w:ascii="仿宋" w:hAnsi="仿宋" w:eastAsia="仿宋" w:cs="Cambria"/>
                <w:b/>
                <w:szCs w:val="21"/>
              </w:rPr>
              <w:t>A份额：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cs="Cambria"/>
                <w:b/>
                <w:szCs w:val="21"/>
              </w:rPr>
              <w:t>B份额：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w:t>
            </w:r>
            <w:r>
              <w:rPr>
                <w:rFonts w:hint="eastAsia" w:ascii="仿宋" w:hAnsi="仿宋" w:eastAsia="仿宋"/>
                <w:b/>
                <w:szCs w:val="21"/>
                <w:lang w:val="en-US" w:eastAsia="zh-CN"/>
              </w:rPr>
              <w:t>30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b/>
              </w:rPr>
            </w:pPr>
            <w:r>
              <w:rPr>
                <w:rFonts w:hint="eastAsia" w:ascii="仿宋" w:hAnsi="仿宋" w:eastAsia="仿宋"/>
                <w:b/>
                <w:szCs w:val="21"/>
              </w:rPr>
              <w:t>F=E×【各份额销售手续费</w:t>
            </w:r>
            <w:r>
              <w:rPr>
                <w:rFonts w:ascii="仿宋" w:hAnsi="仿宋" w:eastAsia="仿宋"/>
                <w:b/>
                <w:szCs w:val="21"/>
              </w:rPr>
              <w:t>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。F为各份额销售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A份额超额管理费计提基准为</w:t>
            </w:r>
            <w:r>
              <w:rPr>
                <w:rFonts w:hint="eastAsia" w:ascii="仿宋" w:hAnsi="仿宋" w:eastAsia="仿宋"/>
                <w:b/>
                <w:szCs w:val="21"/>
                <w:lang w:val="en-US" w:eastAsia="zh-CN"/>
              </w:rPr>
              <w:t>3.80</w:t>
            </w:r>
            <w:r>
              <w:rPr>
                <w:rFonts w:ascii="仿宋" w:hAnsi="仿宋" w:eastAsia="仿宋"/>
                <w:b/>
                <w:szCs w:val="21"/>
              </w:rPr>
              <w:t>%</w:t>
            </w:r>
            <w:r>
              <w:rPr>
                <w:rFonts w:hint="eastAsia" w:ascii="仿宋" w:hAnsi="仿宋" w:eastAsia="仿宋" w:cs="Cambria"/>
                <w:b/>
                <w:szCs w:val="21"/>
              </w:rPr>
              <w:t>（年化）；B份额超额管理费计提基准为</w:t>
            </w:r>
            <w:r>
              <w:rPr>
                <w:rFonts w:hint="eastAsia" w:ascii="仿宋" w:hAnsi="仿宋" w:eastAsia="仿宋" w:cs="Cambria"/>
                <w:b/>
                <w:szCs w:val="21"/>
                <w:lang w:val="en-US" w:eastAsia="zh-CN"/>
              </w:rPr>
              <w:t>3</w:t>
            </w:r>
            <w:r>
              <w:rPr>
                <w:rFonts w:hint="eastAsia" w:ascii="仿宋" w:hAnsi="仿宋" w:eastAsia="仿宋" w:cs="Cambria"/>
                <w:b/>
                <w:szCs w:val="21"/>
              </w:rPr>
              <w:t>.</w:t>
            </w:r>
            <w:r>
              <w:rPr>
                <w:rFonts w:hint="eastAsia" w:ascii="仿宋" w:hAnsi="仿宋" w:eastAsia="仿宋" w:cs="Cambria"/>
                <w:b/>
                <w:szCs w:val="21"/>
                <w:lang w:val="en-US" w:eastAsia="zh-CN"/>
              </w:rPr>
              <w:t>65</w:t>
            </w:r>
            <w:r>
              <w:rPr>
                <w:rFonts w:hint="eastAsia" w:ascii="仿宋" w:hAnsi="仿宋" w:eastAsia="仿宋" w:cs="Cambria"/>
                <w:b/>
                <w:szCs w:val="21"/>
              </w:rPr>
              <w:t>%（年化）。</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4" w:name="_Hlk76300274"/>
      <w:r>
        <w:rPr>
          <w:rFonts w:hint="eastAsia" w:ascii="Times New Roman" w:eastAsia="黑体" w:cs="Times New Roman"/>
          <w:b/>
          <w:color w:val="auto"/>
        </w:rPr>
        <w:t>所投资的资产</w:t>
      </w:r>
      <w:bookmarkEnd w:id="4"/>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hint="eastAsia" w:ascii="Times New Roman" w:eastAsia="黑体" w:cs="Times New Roman"/>
          <w:b/>
          <w:color w:val="auto"/>
        </w:rPr>
        <w:t>华夏理财/代销机构</w:t>
      </w:r>
      <w:bookmarkEnd w:id="5"/>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72112637">
    <w:nsid w:val="63AA69FD"/>
    <w:multiLevelType w:val="singleLevel"/>
    <w:tmpl w:val="63AA69FD"/>
    <w:lvl w:ilvl="0" w:tentative="1">
      <w:start w:val="2"/>
      <w:numFmt w:val="chineseCounting"/>
      <w:suff w:val="nothing"/>
      <w:lvlText w:val="%1、"/>
      <w:lvlJc w:val="left"/>
    </w:lvl>
  </w:abstractNum>
  <w:num w:numId="1">
    <w:abstractNumId w:val="16721126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3F262A7"/>
    <w:rsid w:val="04196F12"/>
    <w:rsid w:val="04435A9E"/>
    <w:rsid w:val="04950991"/>
    <w:rsid w:val="054B7EFA"/>
    <w:rsid w:val="05831998"/>
    <w:rsid w:val="060A409E"/>
    <w:rsid w:val="0610015A"/>
    <w:rsid w:val="06331B3C"/>
    <w:rsid w:val="066C6455"/>
    <w:rsid w:val="06930C07"/>
    <w:rsid w:val="06CE1059"/>
    <w:rsid w:val="072859C3"/>
    <w:rsid w:val="07853686"/>
    <w:rsid w:val="079A3378"/>
    <w:rsid w:val="07B45D81"/>
    <w:rsid w:val="07C26F1E"/>
    <w:rsid w:val="07C52B3D"/>
    <w:rsid w:val="07D6576F"/>
    <w:rsid w:val="07F1682B"/>
    <w:rsid w:val="08064FC2"/>
    <w:rsid w:val="080D6F41"/>
    <w:rsid w:val="08A87A0E"/>
    <w:rsid w:val="08D300AE"/>
    <w:rsid w:val="09277EEB"/>
    <w:rsid w:val="096506FA"/>
    <w:rsid w:val="096B558A"/>
    <w:rsid w:val="09B80512"/>
    <w:rsid w:val="0A01440A"/>
    <w:rsid w:val="0A513B0D"/>
    <w:rsid w:val="0A5478A3"/>
    <w:rsid w:val="0A7B7656"/>
    <w:rsid w:val="0A983E05"/>
    <w:rsid w:val="0AB822A5"/>
    <w:rsid w:val="0D3600BA"/>
    <w:rsid w:val="0D6C5F44"/>
    <w:rsid w:val="0DD32259"/>
    <w:rsid w:val="0E73282A"/>
    <w:rsid w:val="0EF43DB9"/>
    <w:rsid w:val="0F850895"/>
    <w:rsid w:val="0FAD1DC8"/>
    <w:rsid w:val="102F133E"/>
    <w:rsid w:val="10510955"/>
    <w:rsid w:val="10987645"/>
    <w:rsid w:val="10B272CB"/>
    <w:rsid w:val="10ED247D"/>
    <w:rsid w:val="110764BF"/>
    <w:rsid w:val="113A6DA1"/>
    <w:rsid w:val="113D243D"/>
    <w:rsid w:val="114758B1"/>
    <w:rsid w:val="11921C3C"/>
    <w:rsid w:val="119A5652"/>
    <w:rsid w:val="11BA7B51"/>
    <w:rsid w:val="120F1E2C"/>
    <w:rsid w:val="12540566"/>
    <w:rsid w:val="12946645"/>
    <w:rsid w:val="12D3200B"/>
    <w:rsid w:val="13495D69"/>
    <w:rsid w:val="13AB6DD5"/>
    <w:rsid w:val="13B7767A"/>
    <w:rsid w:val="13B9670D"/>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3575D5"/>
    <w:rsid w:val="17825A05"/>
    <w:rsid w:val="17A26163"/>
    <w:rsid w:val="17D31FDC"/>
    <w:rsid w:val="17D76C2B"/>
    <w:rsid w:val="17F8769D"/>
    <w:rsid w:val="18041AB4"/>
    <w:rsid w:val="1812072F"/>
    <w:rsid w:val="190F268E"/>
    <w:rsid w:val="19287585"/>
    <w:rsid w:val="19610BFF"/>
    <w:rsid w:val="19953307"/>
    <w:rsid w:val="19A07D04"/>
    <w:rsid w:val="1AAF4AC2"/>
    <w:rsid w:val="1AB13D5A"/>
    <w:rsid w:val="1B2C6F2C"/>
    <w:rsid w:val="1B5D5F33"/>
    <w:rsid w:val="1BA24967"/>
    <w:rsid w:val="1BAF6A57"/>
    <w:rsid w:val="1BCE5D96"/>
    <w:rsid w:val="1BDE2098"/>
    <w:rsid w:val="1BE069CA"/>
    <w:rsid w:val="1C465E86"/>
    <w:rsid w:val="1C470F75"/>
    <w:rsid w:val="1C726314"/>
    <w:rsid w:val="1C8B0511"/>
    <w:rsid w:val="1CE252F3"/>
    <w:rsid w:val="1D0662A6"/>
    <w:rsid w:val="1D104FDC"/>
    <w:rsid w:val="1D117096"/>
    <w:rsid w:val="1D1B764B"/>
    <w:rsid w:val="1DE516B8"/>
    <w:rsid w:val="1E047274"/>
    <w:rsid w:val="1E2F7887"/>
    <w:rsid w:val="1E433C85"/>
    <w:rsid w:val="1ED877DF"/>
    <w:rsid w:val="1F0B3DFE"/>
    <w:rsid w:val="1F5522A7"/>
    <w:rsid w:val="1FD45CE1"/>
    <w:rsid w:val="1FF41399"/>
    <w:rsid w:val="21433609"/>
    <w:rsid w:val="214D162F"/>
    <w:rsid w:val="21DE0D16"/>
    <w:rsid w:val="22171129"/>
    <w:rsid w:val="222D0D62"/>
    <w:rsid w:val="22551E62"/>
    <w:rsid w:val="227D729C"/>
    <w:rsid w:val="2350568B"/>
    <w:rsid w:val="237F35E5"/>
    <w:rsid w:val="23A50D24"/>
    <w:rsid w:val="23E44373"/>
    <w:rsid w:val="23F947F3"/>
    <w:rsid w:val="242806AA"/>
    <w:rsid w:val="24392A65"/>
    <w:rsid w:val="2467066D"/>
    <w:rsid w:val="24E91956"/>
    <w:rsid w:val="252E26F1"/>
    <w:rsid w:val="25C3267A"/>
    <w:rsid w:val="25D568B4"/>
    <w:rsid w:val="25F33B9E"/>
    <w:rsid w:val="260C731E"/>
    <w:rsid w:val="260E5AEA"/>
    <w:rsid w:val="26103F21"/>
    <w:rsid w:val="27914154"/>
    <w:rsid w:val="27C604DA"/>
    <w:rsid w:val="27EA63D1"/>
    <w:rsid w:val="287A5D0E"/>
    <w:rsid w:val="28B05EE9"/>
    <w:rsid w:val="28D30187"/>
    <w:rsid w:val="28D53151"/>
    <w:rsid w:val="28E571A8"/>
    <w:rsid w:val="29216629"/>
    <w:rsid w:val="294C4E21"/>
    <w:rsid w:val="296D4B02"/>
    <w:rsid w:val="29D46607"/>
    <w:rsid w:val="2A103412"/>
    <w:rsid w:val="2A1E1418"/>
    <w:rsid w:val="2A770C99"/>
    <w:rsid w:val="2AF67748"/>
    <w:rsid w:val="2BBB2833"/>
    <w:rsid w:val="2BC42334"/>
    <w:rsid w:val="2C1011CD"/>
    <w:rsid w:val="2C40390A"/>
    <w:rsid w:val="2C4C703B"/>
    <w:rsid w:val="2CE37AF2"/>
    <w:rsid w:val="2D241337"/>
    <w:rsid w:val="2D753D30"/>
    <w:rsid w:val="2DB6436A"/>
    <w:rsid w:val="2DC02129"/>
    <w:rsid w:val="2DD51336"/>
    <w:rsid w:val="2E010168"/>
    <w:rsid w:val="2E6A7D66"/>
    <w:rsid w:val="2EA605F1"/>
    <w:rsid w:val="2EA972CC"/>
    <w:rsid w:val="2EC31B75"/>
    <w:rsid w:val="2FE72027"/>
    <w:rsid w:val="306A1371"/>
    <w:rsid w:val="30BD6A03"/>
    <w:rsid w:val="3127549C"/>
    <w:rsid w:val="31533557"/>
    <w:rsid w:val="31B41A9A"/>
    <w:rsid w:val="31C74937"/>
    <w:rsid w:val="31F02E84"/>
    <w:rsid w:val="32062205"/>
    <w:rsid w:val="322068C9"/>
    <w:rsid w:val="326170B4"/>
    <w:rsid w:val="328F3B54"/>
    <w:rsid w:val="329A11A0"/>
    <w:rsid w:val="32FF7EB7"/>
    <w:rsid w:val="33424079"/>
    <w:rsid w:val="33A6484B"/>
    <w:rsid w:val="34126396"/>
    <w:rsid w:val="345352E6"/>
    <w:rsid w:val="345E593B"/>
    <w:rsid w:val="34605A84"/>
    <w:rsid w:val="346C230B"/>
    <w:rsid w:val="35034F52"/>
    <w:rsid w:val="352C602C"/>
    <w:rsid w:val="35B16527"/>
    <w:rsid w:val="36B76A85"/>
    <w:rsid w:val="36B82ADE"/>
    <w:rsid w:val="36D84DBF"/>
    <w:rsid w:val="376879F0"/>
    <w:rsid w:val="378F057D"/>
    <w:rsid w:val="37EC4B4C"/>
    <w:rsid w:val="387B665C"/>
    <w:rsid w:val="39690814"/>
    <w:rsid w:val="39AE279C"/>
    <w:rsid w:val="39B76C90"/>
    <w:rsid w:val="39C37A55"/>
    <w:rsid w:val="39C53B44"/>
    <w:rsid w:val="39EF39C3"/>
    <w:rsid w:val="3A021304"/>
    <w:rsid w:val="3A23092B"/>
    <w:rsid w:val="3A35598B"/>
    <w:rsid w:val="3A595F4B"/>
    <w:rsid w:val="3A9D0C11"/>
    <w:rsid w:val="3B4C73CF"/>
    <w:rsid w:val="3BC55932"/>
    <w:rsid w:val="3C2D51C9"/>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1012626"/>
    <w:rsid w:val="415249F8"/>
    <w:rsid w:val="417575F2"/>
    <w:rsid w:val="41BD7655"/>
    <w:rsid w:val="41CC7DB7"/>
    <w:rsid w:val="42C36006"/>
    <w:rsid w:val="42CD30A6"/>
    <w:rsid w:val="42F60353"/>
    <w:rsid w:val="438556A7"/>
    <w:rsid w:val="43A6228A"/>
    <w:rsid w:val="449B7167"/>
    <w:rsid w:val="44CC2C77"/>
    <w:rsid w:val="4524487F"/>
    <w:rsid w:val="45CC078F"/>
    <w:rsid w:val="466B6F06"/>
    <w:rsid w:val="46860155"/>
    <w:rsid w:val="473C7E58"/>
    <w:rsid w:val="476049FD"/>
    <w:rsid w:val="47802A85"/>
    <w:rsid w:val="487C60FD"/>
    <w:rsid w:val="489E098C"/>
    <w:rsid w:val="48B61CC6"/>
    <w:rsid w:val="48E87129"/>
    <w:rsid w:val="492A5B50"/>
    <w:rsid w:val="49321AAF"/>
    <w:rsid w:val="493A681C"/>
    <w:rsid w:val="493C2E02"/>
    <w:rsid w:val="494C0FE7"/>
    <w:rsid w:val="494D579F"/>
    <w:rsid w:val="498C1FB1"/>
    <w:rsid w:val="4A255416"/>
    <w:rsid w:val="4A295537"/>
    <w:rsid w:val="4A937164"/>
    <w:rsid w:val="4A9750EA"/>
    <w:rsid w:val="4AA40703"/>
    <w:rsid w:val="4AB52EDF"/>
    <w:rsid w:val="4B1D70C8"/>
    <w:rsid w:val="4B690413"/>
    <w:rsid w:val="4BB86F47"/>
    <w:rsid w:val="4BF60566"/>
    <w:rsid w:val="4C263A21"/>
    <w:rsid w:val="4C973694"/>
    <w:rsid w:val="4CCE54E6"/>
    <w:rsid w:val="4D5D4C67"/>
    <w:rsid w:val="4D9A2B3C"/>
    <w:rsid w:val="4E4D03ED"/>
    <w:rsid w:val="4EDD4EDE"/>
    <w:rsid w:val="4EE45C33"/>
    <w:rsid w:val="4EED4C04"/>
    <w:rsid w:val="4F323CFA"/>
    <w:rsid w:val="4FC908A2"/>
    <w:rsid w:val="50081263"/>
    <w:rsid w:val="500C5A60"/>
    <w:rsid w:val="50461117"/>
    <w:rsid w:val="509A5F14"/>
    <w:rsid w:val="51844BB9"/>
    <w:rsid w:val="51954E8A"/>
    <w:rsid w:val="519B5496"/>
    <w:rsid w:val="52667895"/>
    <w:rsid w:val="52B20439"/>
    <w:rsid w:val="52B95D52"/>
    <w:rsid w:val="5341023D"/>
    <w:rsid w:val="53735224"/>
    <w:rsid w:val="537D24F6"/>
    <w:rsid w:val="53A260CE"/>
    <w:rsid w:val="542C519E"/>
    <w:rsid w:val="543C05E0"/>
    <w:rsid w:val="54B9651A"/>
    <w:rsid w:val="54F9389F"/>
    <w:rsid w:val="55222910"/>
    <w:rsid w:val="55643FAD"/>
    <w:rsid w:val="559032FC"/>
    <w:rsid w:val="55E27377"/>
    <w:rsid w:val="55EF2193"/>
    <w:rsid w:val="560165A7"/>
    <w:rsid w:val="560B3FD6"/>
    <w:rsid w:val="56195379"/>
    <w:rsid w:val="563121A3"/>
    <w:rsid w:val="563A5292"/>
    <w:rsid w:val="5646747A"/>
    <w:rsid w:val="565C1C2A"/>
    <w:rsid w:val="567B0F8C"/>
    <w:rsid w:val="56D476A1"/>
    <w:rsid w:val="574328BF"/>
    <w:rsid w:val="584667E1"/>
    <w:rsid w:val="5884596F"/>
    <w:rsid w:val="58E1781D"/>
    <w:rsid w:val="597162CE"/>
    <w:rsid w:val="598336AE"/>
    <w:rsid w:val="599B3F0F"/>
    <w:rsid w:val="59A2047A"/>
    <w:rsid w:val="5A41650D"/>
    <w:rsid w:val="5A7852B1"/>
    <w:rsid w:val="5A9A631A"/>
    <w:rsid w:val="5AA97C90"/>
    <w:rsid w:val="5AE4319D"/>
    <w:rsid w:val="5B2B6EDA"/>
    <w:rsid w:val="5C7E5C8C"/>
    <w:rsid w:val="5CE90207"/>
    <w:rsid w:val="5CEA4265"/>
    <w:rsid w:val="5DAA0B36"/>
    <w:rsid w:val="5E3B759B"/>
    <w:rsid w:val="5E501568"/>
    <w:rsid w:val="5E50611E"/>
    <w:rsid w:val="5EB138AE"/>
    <w:rsid w:val="5EB53035"/>
    <w:rsid w:val="5ED23CC7"/>
    <w:rsid w:val="5EE6353D"/>
    <w:rsid w:val="5F0310B7"/>
    <w:rsid w:val="5F0C287E"/>
    <w:rsid w:val="5F1655AE"/>
    <w:rsid w:val="5F5952B0"/>
    <w:rsid w:val="602E28A2"/>
    <w:rsid w:val="60C0423D"/>
    <w:rsid w:val="60E7450D"/>
    <w:rsid w:val="613528A2"/>
    <w:rsid w:val="6166406C"/>
    <w:rsid w:val="618F3AF2"/>
    <w:rsid w:val="61DA68DC"/>
    <w:rsid w:val="61FC1FED"/>
    <w:rsid w:val="622708C6"/>
    <w:rsid w:val="62460A47"/>
    <w:rsid w:val="63554C8E"/>
    <w:rsid w:val="63890B77"/>
    <w:rsid w:val="63970830"/>
    <w:rsid w:val="639D1EC4"/>
    <w:rsid w:val="63A13700"/>
    <w:rsid w:val="63D100AF"/>
    <w:rsid w:val="63DA03E2"/>
    <w:rsid w:val="64541B77"/>
    <w:rsid w:val="64667487"/>
    <w:rsid w:val="64E9282A"/>
    <w:rsid w:val="65C63D9B"/>
    <w:rsid w:val="66103AAA"/>
    <w:rsid w:val="667640C4"/>
    <w:rsid w:val="66DC24A5"/>
    <w:rsid w:val="66DF3B52"/>
    <w:rsid w:val="672963E0"/>
    <w:rsid w:val="67363836"/>
    <w:rsid w:val="675A4556"/>
    <w:rsid w:val="675C47D1"/>
    <w:rsid w:val="675E5725"/>
    <w:rsid w:val="679271B5"/>
    <w:rsid w:val="67A01A11"/>
    <w:rsid w:val="67AE1BA6"/>
    <w:rsid w:val="68191A65"/>
    <w:rsid w:val="68F60924"/>
    <w:rsid w:val="69572330"/>
    <w:rsid w:val="698C4C9E"/>
    <w:rsid w:val="69E719A0"/>
    <w:rsid w:val="6A5B0FA5"/>
    <w:rsid w:val="6A983C35"/>
    <w:rsid w:val="6AAC3F8C"/>
    <w:rsid w:val="6B4C2F45"/>
    <w:rsid w:val="6B966680"/>
    <w:rsid w:val="6C026743"/>
    <w:rsid w:val="6C161AD0"/>
    <w:rsid w:val="6D157AE9"/>
    <w:rsid w:val="6D2C2EC2"/>
    <w:rsid w:val="6D2E7D50"/>
    <w:rsid w:val="6D9938C6"/>
    <w:rsid w:val="6DD90E21"/>
    <w:rsid w:val="6DE0162F"/>
    <w:rsid w:val="6DFA3383"/>
    <w:rsid w:val="6E062488"/>
    <w:rsid w:val="6E1A49C5"/>
    <w:rsid w:val="6E254EA7"/>
    <w:rsid w:val="6E4B2AEB"/>
    <w:rsid w:val="6EBB30B7"/>
    <w:rsid w:val="6F191C5C"/>
    <w:rsid w:val="6F44586C"/>
    <w:rsid w:val="6F786BDA"/>
    <w:rsid w:val="70113542"/>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3B625A"/>
    <w:rsid w:val="7443680B"/>
    <w:rsid w:val="745500EB"/>
    <w:rsid w:val="74A805D6"/>
    <w:rsid w:val="74A870B6"/>
    <w:rsid w:val="74EC6D1E"/>
    <w:rsid w:val="74FA0674"/>
    <w:rsid w:val="75385547"/>
    <w:rsid w:val="754F1383"/>
    <w:rsid w:val="75DC198B"/>
    <w:rsid w:val="75E25A77"/>
    <w:rsid w:val="762A07F6"/>
    <w:rsid w:val="764A2B58"/>
    <w:rsid w:val="76661B90"/>
    <w:rsid w:val="77307E87"/>
    <w:rsid w:val="77731DCC"/>
    <w:rsid w:val="77B301A9"/>
    <w:rsid w:val="77BE7190"/>
    <w:rsid w:val="77D83AB0"/>
    <w:rsid w:val="77ED043F"/>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1012D5"/>
    <w:rsid w:val="7B2F3DDD"/>
    <w:rsid w:val="7B4B41CD"/>
    <w:rsid w:val="7B5A24C6"/>
    <w:rsid w:val="7B6F7E14"/>
    <w:rsid w:val="7CDB4C9F"/>
    <w:rsid w:val="7D016D57"/>
    <w:rsid w:val="7D2B624D"/>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uiPriority w:val="1"/>
  </w:style>
  <w:style w:type="table" w:default="1" w:styleId="13">
    <w:name w:val="Normal Table"/>
    <w:unhideWhenUsed/>
    <w:qFormat/>
    <w:uiPriority w:val="99"/>
    <w:tblPr>
      <w:tblStyle w:val="13"/>
      <w:tblLayout w:type="fixed"/>
      <w:tblCellMar>
        <w:top w:w="0" w:type="dxa"/>
        <w:left w:w="108" w:type="dxa"/>
        <w:bottom w:w="0" w:type="dxa"/>
        <w:right w:w="108" w:type="dxa"/>
      </w:tblCellMar>
    </w:tblPr>
    <w:tcPr>
      <w:textDirection w:val="lrTb"/>
    </w:tcPr>
  </w:style>
  <w:style w:type="paragraph" w:styleId="2">
    <w:name w:val="annotation subject"/>
    <w:basedOn w:val="3"/>
    <w:next w:val="3"/>
    <w:link w:val="17"/>
    <w:qFormat/>
    <w:uiPriority w:val="0"/>
    <w:rPr>
      <w:b/>
      <w:bCs/>
    </w:rPr>
  </w:style>
  <w:style w:type="paragraph" w:styleId="3">
    <w:name w:val="annotation text"/>
    <w:basedOn w:val="1"/>
    <w:link w:val="16"/>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8">
    <w:name w:val="Normal (Web)"/>
    <w:basedOn w:val="1"/>
    <w:uiPriority w:val="0"/>
    <w:pPr>
      <w:spacing w:beforeAutospacing="1" w:afterAutospacing="1"/>
      <w:jc w:val="left"/>
    </w:pPr>
    <w:rPr>
      <w:kern w:val="0"/>
      <w:sz w:val="24"/>
    </w:rPr>
  </w:style>
  <w:style w:type="character" w:styleId="10">
    <w:name w:val="FollowedHyperlink"/>
    <w:qFormat/>
    <w:uiPriority w:val="0"/>
    <w:rPr>
      <w:color w:val="000000"/>
      <w:u w:val="none"/>
    </w:rPr>
  </w:style>
  <w:style w:type="character" w:styleId="11">
    <w:name w:val="Hyperlink"/>
    <w:qFormat/>
    <w:uiPriority w:val="0"/>
    <w:rPr>
      <w:color w:val="000000"/>
      <w:u w:val="none"/>
    </w:rPr>
  </w:style>
  <w:style w:type="character" w:styleId="12">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3"/>
    <w:qFormat/>
    <w:uiPriority w:val="0"/>
    <w:rPr>
      <w:kern w:val="2"/>
      <w:sz w:val="21"/>
      <w:szCs w:val="24"/>
    </w:rPr>
  </w:style>
  <w:style w:type="character" w:customStyle="1" w:styleId="17">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15238</Words>
  <Characters>15701</Characters>
  <Lines>112</Lines>
  <Paragraphs>31</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RORO</cp:lastModifiedBy>
  <cp:lastPrinted>2021-07-21T07:06:00Z</cp:lastPrinted>
  <dcterms:modified xsi:type="dcterms:W3CDTF">2023-07-06T11:18:13Z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AABFD6ACA3EB4657B5186AEC0B9A73DC</vt:lpwstr>
  </property>
</Properties>
</file>