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adjustRightInd w:val="0"/>
        <w:snapToGrid w:val="0"/>
        <w:spacing w:line="400" w:lineRule="exact"/>
        <w:ind w:firstLine="0"/>
        <w:jc w:val="center"/>
        <w:rPr>
          <w:rFonts w:hint="eastAsia" w:eastAsia="黑体"/>
          <w:bCs/>
          <w:kern w:val="2"/>
          <w:sz w:val="36"/>
          <w:szCs w:val="36"/>
        </w:rPr>
      </w:pPr>
      <w:bookmarkStart w:id="4" w:name="_GoBack"/>
      <w:bookmarkEnd w:id="4"/>
      <w:r>
        <w:rPr>
          <w:rFonts w:hint="eastAsia" w:eastAsia="黑体"/>
          <w:bCs/>
          <w:kern w:val="2"/>
          <w:sz w:val="36"/>
          <w:szCs w:val="36"/>
        </w:rPr>
        <w:t>华夏理财固定收益纯债最短持有</w:t>
      </w:r>
      <w:r>
        <w:rPr>
          <w:rFonts w:eastAsia="黑体"/>
          <w:bCs/>
          <w:kern w:val="2"/>
          <w:sz w:val="36"/>
          <w:szCs w:val="36"/>
        </w:rPr>
        <w:t>60</w:t>
      </w:r>
      <w:r>
        <w:rPr>
          <w:rFonts w:hint="eastAsia" w:eastAsia="黑体"/>
          <w:bCs/>
          <w:kern w:val="2"/>
          <w:sz w:val="36"/>
          <w:szCs w:val="36"/>
        </w:rPr>
        <w:t>天理财产品</w:t>
      </w:r>
      <w:r>
        <w:rPr>
          <w:rFonts w:hint="eastAsia" w:eastAsia="黑体"/>
          <w:bCs/>
          <w:kern w:val="2"/>
          <w:sz w:val="36"/>
          <w:szCs w:val="36"/>
          <w:lang w:val="en-US" w:eastAsia="zh-CN"/>
        </w:rPr>
        <w:t>E</w:t>
      </w:r>
      <w:r>
        <w:rPr>
          <w:rFonts w:hint="eastAsia" w:eastAsia="黑体"/>
          <w:bCs/>
          <w:kern w:val="2"/>
          <w:sz w:val="36"/>
          <w:szCs w:val="36"/>
        </w:rPr>
        <w:t>款</w:t>
      </w:r>
    </w:p>
    <w:p>
      <w:pPr>
        <w:pStyle w:val="6"/>
        <w:adjustRightInd w:val="0"/>
        <w:snapToGrid w:val="0"/>
        <w:spacing w:line="400" w:lineRule="exact"/>
        <w:ind w:firstLine="0"/>
        <w:jc w:val="center"/>
        <w:rPr>
          <w:rFonts w:eastAsia="黑体"/>
          <w:bCs/>
          <w:kern w:val="2"/>
          <w:sz w:val="36"/>
          <w:szCs w:val="36"/>
        </w:rPr>
      </w:pPr>
      <w:r>
        <w:rPr>
          <w:rFonts w:hint="eastAsia" w:eastAsia="黑体"/>
          <w:bCs/>
          <w:kern w:val="2"/>
          <w:sz w:val="36"/>
          <w:szCs w:val="36"/>
        </w:rPr>
        <w:t>说明书</w:t>
      </w:r>
    </w:p>
    <w:tbl>
      <w:tblPr>
        <w:tblStyle w:val="11"/>
        <w:tblpPr w:leftFromText="180" w:rightFromText="180" w:vertAnchor="page" w:horzAnchor="page" w:tblpX="1867" w:tblpY="2343"/>
        <w:tblW w:w="859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2" w:hRule="atLeast"/>
        </w:trPr>
        <w:tc>
          <w:tcPr>
            <w:tcW w:w="8590"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投资者可在规定时间内按照本产品说明书中约定的申购、赎回条款申购或赎回本理财产品。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eastAsia="楷体_GB2312"/>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投资者如需进行业务咨询或投诉，请拨打华夏理财客户服务热线4001795577或其他代理销售机构客户服务热线。</w:t>
            </w:r>
          </w:p>
        </w:tc>
      </w:tr>
    </w:tbl>
    <w:p>
      <w:pPr>
        <w:pStyle w:val="6"/>
        <w:adjustRightInd w:val="0"/>
        <w:snapToGrid w:val="0"/>
        <w:spacing w:line="400" w:lineRule="exact"/>
        <w:ind w:firstLine="0"/>
        <w:jc w:val="center"/>
        <w:rPr>
          <w:rFonts w:eastAsia="黑体"/>
          <w:bCs/>
          <w:kern w:val="2"/>
          <w:sz w:val="36"/>
          <w:szCs w:val="36"/>
        </w:rPr>
      </w:pPr>
    </w:p>
    <w:p>
      <w:pPr>
        <w:pStyle w:val="6"/>
        <w:adjustRightInd w:val="0"/>
        <w:snapToGrid w:val="0"/>
        <w:spacing w:line="400" w:lineRule="exact"/>
        <w:ind w:firstLine="0"/>
        <w:jc w:val="center"/>
        <w:rPr>
          <w:rFonts w:eastAsia="黑体"/>
          <w:bCs/>
          <w:kern w:val="2"/>
          <w:sz w:val="36"/>
          <w:szCs w:val="36"/>
        </w:rPr>
      </w:pP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1"/>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
                <w:bCs/>
                <w:szCs w:val="21"/>
              </w:rPr>
            </w:pPr>
            <w:r>
              <w:rPr>
                <w:rFonts w:hint="eastAsia" w:ascii="仿宋" w:hAnsi="仿宋" w:eastAsia="仿宋"/>
                <w:b/>
                <w:bCs/>
                <w:szCs w:val="21"/>
              </w:rPr>
              <w:t>华夏理财固定收益纯债最短持有</w:t>
            </w:r>
            <w:r>
              <w:rPr>
                <w:rFonts w:ascii="仿宋" w:hAnsi="仿宋" w:eastAsia="仿宋"/>
                <w:b/>
                <w:bCs/>
                <w:szCs w:val="21"/>
              </w:rPr>
              <w:t>60</w:t>
            </w:r>
            <w:r>
              <w:rPr>
                <w:rFonts w:hint="eastAsia" w:ascii="仿宋" w:hAnsi="仿宋" w:eastAsia="仿宋"/>
                <w:b/>
                <w:bCs/>
                <w:szCs w:val="21"/>
              </w:rPr>
              <w:t>天理财产品</w:t>
            </w:r>
            <w:r>
              <w:rPr>
                <w:rFonts w:hint="eastAsia" w:ascii="仿宋" w:hAnsi="仿宋" w:eastAsia="仿宋"/>
                <w:b/>
                <w:bCs/>
                <w:szCs w:val="21"/>
                <w:lang w:val="en-US" w:eastAsia="zh-CN"/>
              </w:rPr>
              <w:t>E</w:t>
            </w:r>
            <w:r>
              <w:rPr>
                <w:rFonts w:hint="eastAsia" w:ascii="仿宋" w:hAnsi="仿宋" w:eastAsia="仿宋"/>
                <w:b/>
                <w:bCs/>
                <w:szCs w:val="21"/>
              </w:rPr>
              <w:t>款</w:t>
            </w:r>
          </w:p>
          <w:p>
            <w:pPr>
              <w:adjustRightInd w:val="0"/>
              <w:snapToGrid w:val="0"/>
              <w:spacing w:line="240" w:lineRule="atLeast"/>
              <w:jc w:val="center"/>
              <w:rPr>
                <w:rFonts w:hint="eastAsia" w:ascii="仿宋" w:hAnsi="仿宋" w:eastAsia="仿宋"/>
                <w:b/>
                <w:bCs/>
                <w:szCs w:val="21"/>
              </w:rPr>
            </w:pPr>
            <w:r>
              <w:rPr>
                <w:rFonts w:hint="eastAsia" w:ascii="仿宋" w:hAnsi="仿宋" w:eastAsia="仿宋"/>
                <w:b/>
                <w:bCs/>
                <w:szCs w:val="21"/>
                <w:lang w:val="en-US" w:eastAsia="zh-CN"/>
              </w:rPr>
              <w:t>A份额</w:t>
            </w:r>
            <w:r>
              <w:rPr>
                <w:rFonts w:hint="eastAsia" w:ascii="仿宋" w:hAnsi="仿宋" w:eastAsia="仿宋"/>
                <w:b/>
                <w:bCs/>
                <w:szCs w:val="21"/>
              </w:rPr>
              <w:t>简称：“华夏理财固收纯债最短持有60天</w:t>
            </w:r>
            <w:r>
              <w:rPr>
                <w:rFonts w:hint="eastAsia" w:ascii="仿宋" w:hAnsi="仿宋" w:eastAsia="仿宋"/>
                <w:b/>
                <w:bCs/>
                <w:szCs w:val="21"/>
                <w:lang w:val="en-US" w:eastAsia="zh-CN"/>
              </w:rPr>
              <w:t>E</w:t>
            </w:r>
            <w:r>
              <w:rPr>
                <w:rFonts w:hint="eastAsia" w:ascii="仿宋" w:hAnsi="仿宋" w:eastAsia="仿宋"/>
                <w:b/>
                <w:bCs/>
                <w:szCs w:val="21"/>
              </w:rPr>
              <w:t>款</w:t>
            </w:r>
            <w:r>
              <w:rPr>
                <w:rFonts w:hint="eastAsia" w:ascii="仿宋" w:hAnsi="仿宋" w:eastAsia="仿宋"/>
                <w:b/>
                <w:bCs/>
                <w:szCs w:val="21"/>
                <w:lang w:val="en-US" w:eastAsia="zh-CN"/>
              </w:rPr>
              <w:t>A</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lang w:val="en-US" w:eastAsia="zh-CN"/>
              </w:rPr>
            </w:pPr>
            <w:r>
              <w:rPr>
                <w:rFonts w:hint="eastAsia" w:ascii="仿宋" w:hAnsi="仿宋" w:eastAsia="仿宋"/>
                <w:bCs/>
                <w:szCs w:val="21"/>
                <w:lang w:eastAsia="zh-CN"/>
              </w:rPr>
              <w:t>25115016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default" w:ascii="仿宋" w:hAnsi="仿宋" w:eastAsia="仿宋"/>
                <w:bCs/>
                <w:szCs w:val="21"/>
                <w:lang w:val="en-US" w:eastAsia="zh-CN"/>
              </w:rPr>
            </w:pPr>
            <w:r>
              <w:rPr>
                <w:rFonts w:hint="eastAsia" w:ascii="仿宋" w:hAnsi="仿宋" w:eastAsia="仿宋"/>
                <w:bCs/>
                <w:szCs w:val="21"/>
                <w:lang w:val="en-US" w:eastAsia="zh-CN"/>
              </w:rPr>
              <w:t>A份额</w:t>
            </w:r>
            <w:r>
              <w:rPr>
                <w:rFonts w:hint="eastAsia" w:ascii="仿宋" w:hAnsi="仿宋" w:eastAsia="仿宋"/>
                <w:bCs/>
                <w:szCs w:val="21"/>
              </w:rPr>
              <w:t>：</w:t>
            </w:r>
            <w:r>
              <w:rPr>
                <w:rFonts w:hint="eastAsia" w:ascii="仿宋" w:hAnsi="仿宋" w:eastAsia="仿宋"/>
                <w:bCs/>
                <w:szCs w:val="21"/>
                <w:lang w:eastAsia="zh-CN"/>
              </w:rPr>
              <w:t>25115016</w:t>
            </w:r>
            <w:r>
              <w:rPr>
                <w:rFonts w:hint="eastAsia" w:ascii="仿宋" w:hAnsi="仿宋" w:eastAsia="仿宋"/>
                <w:bCs/>
                <w:szCs w:val="21"/>
                <w:lang w:val="en-US" w:eastAsia="zh-CN"/>
              </w:rPr>
              <w:t>A</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rPr>
            </w:pPr>
            <w:r>
              <w:rPr>
                <w:rFonts w:hint="eastAsia" w:ascii="仿宋" w:hAnsi="仿宋" w:eastAsia="仿宋"/>
                <w:bCs/>
                <w:szCs w:val="21"/>
              </w:rPr>
              <w:t>Z7003925000146</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w:t>
            </w:r>
            <w:r>
              <w:rPr>
                <w:rFonts w:ascii="仿宋" w:hAnsi="仿宋" w:eastAsia="仿宋"/>
                <w:bCs/>
                <w:szCs w:val="21"/>
              </w:rPr>
              <w:t>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hint="eastAsia" w:ascii="仿宋" w:hAnsi="仿宋" w:eastAsia="仿宋"/>
                <w:bCs/>
                <w:szCs w:val="21"/>
              </w:rPr>
              <w:t xml:space="preserve"> </w:t>
            </w:r>
            <w:r>
              <w:rPr>
                <w:rFonts w:hint="eastAsia" w:ascii="仿宋" w:hAnsi="仿宋" w:eastAsia="仿宋"/>
                <w:bCs/>
                <w:szCs w:val="21"/>
                <w:u w:val="single"/>
              </w:rPr>
              <w:t>PR2级（中低风险）</w:t>
            </w:r>
            <w:r>
              <w:rPr>
                <w:rFonts w:ascii="仿宋" w:hAnsi="仿宋" w:eastAsia="仿宋"/>
                <w:bCs/>
                <w:szCs w:val="21"/>
              </w:rPr>
              <w:t xml:space="preserve"> 理财产品。</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
                <w:bCs/>
                <w:szCs w:val="21"/>
              </w:rPr>
            </w:pPr>
            <w:r>
              <w:rPr>
                <w:rFonts w:hint="eastAsia" w:ascii="仿宋" w:hAnsi="仿宋" w:eastAsia="仿宋"/>
                <w:bCs/>
                <w:szCs w:val="21"/>
              </w:rPr>
              <w:t>本理财产品通过代理销售机构（以下简称“代销机构”）渠道销售的，理财产品评级应当以代销机构最终披露的评级结果为准。代销机构</w:t>
            </w:r>
            <w:r>
              <w:rPr>
                <w:rFonts w:hint="eastAsia" w:ascii="仿宋" w:hAnsi="仿宋" w:eastAsia="仿宋"/>
                <w:szCs w:val="21"/>
              </w:rPr>
              <w:t>如与华夏理财产品风险评级结果不一致，应当采用对应较高风险等级的评级结果</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w:t>
            </w:r>
            <w:r>
              <w:rPr>
                <w:rFonts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ascii="仿宋" w:hAnsi="仿宋" w:eastAsia="仿宋"/>
                <w:bCs/>
                <w:szCs w:val="21"/>
                <w:u w:val="single"/>
              </w:rPr>
              <w:t xml:space="preserve"> </w:t>
            </w:r>
            <w:r>
              <w:rPr>
                <w:rFonts w:hint="eastAsia" w:ascii="仿宋" w:hAnsi="仿宋" w:eastAsia="仿宋"/>
                <w:bCs/>
                <w:color w:val="000000"/>
                <w:szCs w:val="21"/>
                <w:u w:val="single"/>
              </w:rPr>
              <w:t>CR2（稳健型）、CR3（平衡型）、CR4（进取型）、CR5（激进型）</w:t>
            </w:r>
            <w:r>
              <w:rPr>
                <w:rFonts w:ascii="仿宋" w:hAnsi="仿宋" w:eastAsia="仿宋"/>
                <w:bCs/>
                <w:szCs w:val="21"/>
                <w:u w:val="single"/>
              </w:rPr>
              <w:t xml:space="preserve"> </w:t>
            </w:r>
            <w:r>
              <w:rPr>
                <w:rFonts w:hint="eastAsia" w:ascii="仿宋" w:hAnsi="仿宋" w:eastAsia="仿宋"/>
                <w:bCs/>
                <w:szCs w:val="21"/>
              </w:rPr>
              <w:t>的个人投资者。</w:t>
            </w:r>
            <w:r>
              <w:rPr>
                <w:rFonts w:hint="eastAsia" w:ascii="仿宋" w:hAnsi="仿宋" w:eastAsia="仿宋"/>
                <w:bCs/>
                <w:color w:val="000000"/>
                <w:szCs w:val="21"/>
              </w:rPr>
              <w:t>客户风险承受能力评级类型分为：CR1（谨慎型）、CR2（稳健型）、CR3（平衡型）、CR4（进取型）、CR5（激进型）</w:t>
            </w:r>
            <w:r>
              <w:rPr>
                <w:rFonts w:ascii="仿宋" w:hAnsi="仿宋" w:eastAsia="仿宋"/>
                <w:bCs/>
                <w:color w:val="000000"/>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240" w:lineRule="atLeast"/>
              <w:ind w:firstLine="420" w:firstLineChars="200"/>
              <w:rPr>
                <w:rFonts w:ascii="仿宋" w:hAnsi="仿宋" w:eastAsia="仿宋"/>
                <w:b/>
                <w:bCs/>
                <w:color w:val="000000"/>
                <w:szCs w:val="21"/>
              </w:rPr>
            </w:pPr>
            <w:r>
              <w:rPr>
                <w:rFonts w:hint="eastAsia" w:ascii="仿宋" w:hAnsi="仿宋" w:eastAsia="仿宋"/>
                <w:bCs/>
                <w:szCs w:val="21"/>
              </w:rPr>
              <w:t>通过代销机构购买的，适合投资者及投资者风险承受能力评估结果以代销机构规定为准</w:t>
            </w:r>
            <w:r>
              <w:rPr>
                <w:rFonts w:ascii="仿宋" w:hAnsi="仿宋" w:eastAsia="仿宋"/>
                <w:bCs/>
                <w:szCs w:val="21"/>
              </w:rPr>
              <w:t>。</w:t>
            </w:r>
          </w:p>
          <w:p>
            <w:pPr>
              <w:adjustRightInd w:val="0"/>
              <w:snapToGrid w:val="0"/>
              <w:spacing w:line="240" w:lineRule="atLeast"/>
              <w:ind w:firstLine="422" w:firstLineChars="200"/>
              <w:rPr>
                <w:rFonts w:ascii="仿宋" w:hAnsi="仿宋" w:eastAsia="仿宋"/>
                <w:bCs/>
                <w:color w:val="000000"/>
                <w:szCs w:val="21"/>
              </w:rPr>
            </w:pPr>
            <w:r>
              <w:rPr>
                <w:rFonts w:hint="eastAsia" w:ascii="仿宋" w:hAnsi="仿宋" w:eastAsia="仿宋"/>
                <w:b/>
                <w:bCs/>
                <w:color w:val="000000"/>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color w:val="000000"/>
                <w:szCs w:val="21"/>
              </w:rPr>
              <w:t>责任和风险由</w:t>
            </w:r>
            <w:r>
              <w:rPr>
                <w:rFonts w:hint="eastAsia" w:ascii="仿宋" w:hAnsi="仿宋" w:eastAsia="仿宋"/>
                <w:b/>
                <w:bCs/>
                <w:color w:val="000000"/>
                <w:szCs w:val="21"/>
              </w:rPr>
              <w:t>投资者</w:t>
            </w:r>
            <w:r>
              <w:rPr>
                <w:rFonts w:ascii="仿宋" w:hAnsi="仿宋" w:eastAsia="仿宋"/>
                <w:b/>
                <w:bCs/>
                <w:color w:val="000000"/>
                <w:szCs w:val="21"/>
              </w:rPr>
              <w:t>承担</w:t>
            </w:r>
            <w:r>
              <w:rPr>
                <w:rFonts w:hint="eastAsia" w:ascii="仿宋" w:hAnsi="仿宋" w:eastAsia="仿宋"/>
                <w:b/>
                <w:bCs/>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业绩比较基准</w:t>
            </w:r>
          </w:p>
          <w:p>
            <w:pPr>
              <w:adjustRightInd w:val="0"/>
              <w:snapToGrid w:val="0"/>
              <w:spacing w:line="240" w:lineRule="atLeast"/>
              <w:jc w:val="center"/>
              <w:rPr>
                <w:rFonts w:ascii="仿宋" w:hAnsi="仿宋" w:eastAsia="仿宋"/>
                <w:bCs/>
                <w:szCs w:val="21"/>
              </w:rPr>
            </w:pP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cs="Cambria"/>
                <w:bCs/>
                <w:szCs w:val="21"/>
                <w:lang w:val="en-US" w:eastAsia="zh-CN"/>
              </w:rPr>
              <w:t>A份额</w:t>
            </w:r>
            <w:r>
              <w:rPr>
                <w:rFonts w:hint="eastAsia" w:ascii="仿宋" w:hAnsi="仿宋" w:eastAsia="仿宋" w:cs="Cambria"/>
                <w:bCs/>
                <w:szCs w:val="21"/>
              </w:rPr>
              <w:t>：业绩比较基准为1.90%-2.80%（年化）。以产品全部投资于存款、债券等固定收益类资产，参考目标资产当前收益水平，结合低波动类资产组合配置策略并扣除各项费用后，综合测算得出上述业绩比较基准。</w:t>
            </w:r>
            <w:r>
              <w:rPr>
                <w:rFonts w:hint="eastAsia" w:ascii="仿宋" w:hAnsi="仿宋" w:eastAsia="仿宋"/>
                <w:bCs/>
                <w:color w:val="000000"/>
                <w:szCs w:val="21"/>
              </w:rPr>
              <w:t>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cs="Cambria"/>
                <w:bCs/>
                <w:szCs w:val="21"/>
              </w:rPr>
              <w:t>业绩比较基准是管理人基于产品性质、投资策略、过往经验等因素对产品设定的投资目标，</w:t>
            </w:r>
            <w:r>
              <w:rPr>
                <w:rFonts w:hint="eastAsia" w:ascii="仿宋" w:hAnsi="仿宋" w:eastAsia="仿宋" w:cs="Cambria"/>
                <w:bCs/>
                <w:szCs w:val="21"/>
                <w:lang w:val="en-US" w:eastAsia="zh-CN"/>
              </w:rPr>
              <w:t>不是预期收益率，</w:t>
            </w:r>
            <w:r>
              <w:rPr>
                <w:rFonts w:hint="eastAsia" w:ascii="仿宋" w:hAnsi="仿宋" w:eastAsia="仿宋" w:cs="Cambria"/>
                <w:bCs/>
                <w:szCs w:val="21"/>
              </w:rPr>
              <w:t>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华夏理财有权根据市场情况及产品运作情况调整业绩比较基准，</w:t>
            </w:r>
            <w:r>
              <w:rPr>
                <w:rFonts w:hint="eastAsia" w:ascii="仿宋" w:hAnsi="仿宋" w:eastAsia="仿宋"/>
                <w:bCs/>
                <w:szCs w:val="21"/>
              </w:rPr>
              <w:t>并至少于新业绩比较基准启用前3个工作日公告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2.本业绩比较基准不构成华夏理财/代销机构对本理财产品的任何收益承诺。</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3</w:t>
            </w:r>
            <w:r>
              <w:rPr>
                <w:rFonts w:hint="eastAsia" w:ascii="仿宋" w:hAnsi="仿宋" w:eastAsia="仿宋"/>
                <w:bCs/>
                <w:szCs w:val="21"/>
              </w:rPr>
              <w:t>月</w:t>
            </w:r>
            <w:r>
              <w:rPr>
                <w:rFonts w:hint="eastAsia" w:ascii="仿宋" w:hAnsi="仿宋" w:eastAsia="仿宋"/>
                <w:bCs/>
                <w:szCs w:val="21"/>
                <w:lang w:val="en-US" w:eastAsia="zh-CN"/>
              </w:rPr>
              <w:t>10</w:t>
            </w:r>
            <w:r>
              <w:rPr>
                <w:rFonts w:hint="eastAsia" w:ascii="仿宋" w:hAnsi="仿宋" w:eastAsia="仿宋"/>
                <w:bCs/>
                <w:szCs w:val="21"/>
              </w:rPr>
              <w:t>日－20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3</w:t>
            </w:r>
            <w:r>
              <w:rPr>
                <w:rFonts w:hint="eastAsia" w:ascii="仿宋" w:hAnsi="仿宋" w:eastAsia="仿宋"/>
                <w:bCs/>
                <w:szCs w:val="21"/>
              </w:rPr>
              <w:t>月</w:t>
            </w:r>
            <w:r>
              <w:rPr>
                <w:rFonts w:hint="eastAsia" w:ascii="仿宋" w:hAnsi="仿宋" w:eastAsia="仿宋"/>
                <w:bCs/>
                <w:szCs w:val="21"/>
                <w:lang w:val="en-US" w:eastAsia="zh-CN"/>
              </w:rPr>
              <w:t>10</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w:t>
            </w:r>
            <w:r>
              <w:rPr>
                <w:rFonts w:hint="eastAsia" w:ascii="仿宋" w:hAnsi="仿宋" w:eastAsia="仿宋"/>
                <w:bCs/>
                <w:szCs w:val="21"/>
                <w:lang w:val="en-US" w:eastAsia="zh-CN"/>
              </w:rPr>
              <w:t>5:</w:t>
            </w:r>
            <w:r>
              <w:rPr>
                <w:rFonts w:hint="eastAsia" w:ascii="仿宋" w:hAnsi="仿宋" w:eastAsia="仿宋"/>
                <w:bCs/>
                <w:szCs w:val="21"/>
              </w:rPr>
              <w:t>30（含）后不可认购。</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3</w:t>
            </w:r>
            <w:r>
              <w:rPr>
                <w:rFonts w:hint="eastAsia" w:ascii="仿宋" w:hAnsi="仿宋" w:eastAsia="仿宋"/>
                <w:bCs/>
                <w:szCs w:val="21"/>
              </w:rPr>
              <w:t>月</w:t>
            </w:r>
            <w:r>
              <w:rPr>
                <w:rFonts w:hint="eastAsia" w:ascii="仿宋" w:hAnsi="仿宋" w:eastAsia="仿宋"/>
                <w:bCs/>
                <w:szCs w:val="21"/>
                <w:lang w:val="en-US" w:eastAsia="zh-CN"/>
              </w:rPr>
              <w:t>11</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
                <w:bCs/>
                <w:szCs w:val="21"/>
              </w:rPr>
            </w:pPr>
            <w:r>
              <w:rPr>
                <w:rFonts w:hint="eastAsia" w:ascii="仿宋" w:hAnsi="仿宋" w:eastAsia="仿宋"/>
                <w:bCs/>
                <w:szCs w:val="21"/>
              </w:rPr>
              <w:t>本理财产品不设置封闭期。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产品存续期限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color w:val="000000"/>
                <w:szCs w:val="21"/>
              </w:rPr>
              <w:t>本理财产品无特定存续期限（产品实际期限受制于提前终止条款的约定）</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资金退回</w:t>
            </w:r>
            <w:r>
              <w:rPr>
                <w:rFonts w:hint="eastAsia" w:ascii="仿宋" w:hAnsi="仿宋" w:eastAsia="仿宋"/>
                <w:bCs/>
                <w:szCs w:val="21"/>
              </w:rPr>
              <w:t>华夏银行/华夏理财客户</w:t>
            </w:r>
            <w:r>
              <w:rPr>
                <w:rFonts w:ascii="仿宋" w:hAnsi="仿宋" w:eastAsia="仿宋"/>
                <w:bCs/>
                <w:szCs w:val="21"/>
              </w:rPr>
              <w:t>的</w:t>
            </w:r>
            <w:r>
              <w:rPr>
                <w:rFonts w:hint="eastAsia" w:ascii="仿宋" w:hAnsi="仿宋" w:eastAsia="仿宋"/>
                <w:bCs/>
                <w:szCs w:val="21"/>
              </w:rPr>
              <w:t>理财签约</w:t>
            </w:r>
            <w:r>
              <w:rPr>
                <w:rFonts w:ascii="仿宋" w:hAnsi="仿宋" w:eastAsia="仿宋"/>
                <w:bCs/>
                <w:szCs w:val="21"/>
              </w:rPr>
              <w:t>账户</w:t>
            </w:r>
            <w:r>
              <w:rPr>
                <w:rFonts w:hint="eastAsia" w:ascii="仿宋" w:hAnsi="仿宋" w:eastAsia="仿宋"/>
                <w:bCs/>
                <w:szCs w:val="21"/>
              </w:rPr>
              <w:t>内（</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w:t>
            </w:r>
            <w:r>
              <w:rPr>
                <w:rFonts w:ascii="仿宋" w:hAnsi="仿宋" w:eastAsia="仿宋"/>
                <w:bCs/>
                <w:szCs w:val="21"/>
              </w:rPr>
              <w:t>申购</w:t>
            </w:r>
          </w:p>
          <w:p>
            <w:pPr>
              <w:adjustRightInd w:val="0"/>
              <w:snapToGrid w:val="0"/>
              <w:spacing w:line="240" w:lineRule="atLeast"/>
              <w:jc w:val="center"/>
              <w:rPr>
                <w:rFonts w:ascii="仿宋" w:hAnsi="仿宋" w:eastAsia="仿宋"/>
                <w:bCs/>
                <w:szCs w:val="21"/>
              </w:rPr>
            </w:pPr>
            <w:r>
              <w:rPr>
                <w:rFonts w:ascii="仿宋" w:hAnsi="仿宋" w:eastAsia="仿宋"/>
                <w:bCs/>
                <w:szCs w:val="21"/>
              </w:rPr>
              <w:t>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cs="Cambria"/>
                <w:bCs/>
                <w:szCs w:val="21"/>
                <w:lang w:val="en-US" w:eastAsia="zh-CN"/>
              </w:rPr>
            </w:pPr>
            <w:r>
              <w:rPr>
                <w:rFonts w:hint="eastAsia" w:ascii="仿宋" w:hAnsi="仿宋" w:eastAsia="仿宋" w:cs="Cambria"/>
                <w:bCs/>
                <w:szCs w:val="21"/>
                <w:lang w:val="en-US" w:eastAsia="zh-CN"/>
              </w:rPr>
              <w:t>A份额</w:t>
            </w:r>
            <w:r>
              <w:rPr>
                <w:rFonts w:hint="eastAsia" w:ascii="仿宋" w:hAnsi="仿宋" w:eastAsia="仿宋" w:cs="Cambria"/>
                <w:bCs/>
                <w:szCs w:val="21"/>
              </w:rPr>
              <w:t>：</w:t>
            </w:r>
            <w:r>
              <w:rPr>
                <w:rFonts w:hint="eastAsia" w:ascii="仿宋" w:hAnsi="仿宋" w:eastAsia="仿宋"/>
                <w:bCs/>
                <w:szCs w:val="21"/>
              </w:rPr>
              <w:t>1元，以1元的整数倍递增。</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如代销机构规定与本规则不一致的，则以各代销机构规定为准，但不得低于本起点金额。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color w:val="000000"/>
                <w:szCs w:val="21"/>
              </w:rPr>
              <w:t>最高持有限额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最高持有限额要求：单一投资者持有本产品份额数不得超过本产品份额总数的 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如代销机构规定与本规则不一致的，则以各代销机构规定为准，但不得高于最高持有限额。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 xml:space="preserve">购买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ascii="仿宋" w:hAnsi="仿宋" w:eastAsia="仿宋"/>
                <w:bCs/>
                <w:szCs w:val="21"/>
              </w:rPr>
              <w:t>1元，以1元的整数倍追加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单笔赎回</w:t>
            </w:r>
            <w:r>
              <w:rPr>
                <w:rFonts w:hint="eastAsia" w:ascii="仿宋" w:hAnsi="仿宋" w:eastAsia="仿宋"/>
                <w:bCs/>
                <w:szCs w:val="21"/>
              </w:rPr>
              <w:t xml:space="preserve">     </w:t>
            </w:r>
            <w:r>
              <w:rPr>
                <w:rFonts w:ascii="仿宋" w:hAnsi="仿宋" w:eastAsia="仿宋"/>
                <w:bCs/>
                <w:szCs w:val="21"/>
              </w:rPr>
              <w:t>最低</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理财账户</w:t>
            </w:r>
            <w:r>
              <w:rPr>
                <w:rFonts w:hint="eastAsia" w:ascii="仿宋" w:hAnsi="仿宋" w:eastAsia="仿宋"/>
                <w:bCs/>
                <w:szCs w:val="21"/>
              </w:rPr>
              <w:t xml:space="preserve">     </w:t>
            </w:r>
            <w:r>
              <w:rPr>
                <w:rFonts w:ascii="仿宋" w:hAnsi="仿宋" w:eastAsia="仿宋"/>
                <w:bCs/>
                <w:szCs w:val="21"/>
              </w:rPr>
              <w:t>最低保留</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
                <w:szCs w:val="21"/>
              </w:rPr>
              <w:t>投资者发起赎回交易时，将触发判断理财账户份额余额是否低于最低保留限额要求，可能引发强制赎回交易，具体约定详见“赎回规定”。</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份额净值为提取管理费、托管费、销售手续费等相关费用后的理财产品份额净值，投资者按该份额净值进行申购、赎回和到期/终止时的分配。</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份额净值的计算保留到小数点后</w:t>
            </w:r>
            <w:r>
              <w:rPr>
                <w:rFonts w:ascii="仿宋" w:hAnsi="仿宋" w:eastAsia="仿宋"/>
                <w:bCs/>
                <w:szCs w:val="21"/>
              </w:rPr>
              <w:t xml:space="preserve"> 4 </w:t>
            </w:r>
            <w:r>
              <w:rPr>
                <w:rFonts w:hint="eastAsia" w:ascii="仿宋" w:hAnsi="仿宋" w:eastAsia="仿宋"/>
                <w:bCs/>
                <w:szCs w:val="21"/>
              </w:rPr>
              <w:t>位，小数点后第</w:t>
            </w:r>
            <w:r>
              <w:rPr>
                <w:rFonts w:ascii="仿宋" w:hAnsi="仿宋" w:eastAsia="仿宋"/>
                <w:bCs/>
                <w:szCs w:val="21"/>
              </w:rPr>
              <w:t xml:space="preserve"> 5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u w:val="single"/>
              </w:rPr>
            </w:pPr>
            <w:r>
              <w:rPr>
                <w:rFonts w:ascii="仿宋" w:hAnsi="仿宋" w:eastAsia="仿宋"/>
                <w:bCs/>
                <w:szCs w:val="21"/>
              </w:rPr>
              <w:t>申购份额＝申购金额/申购</w:t>
            </w:r>
            <w:r>
              <w:rPr>
                <w:rFonts w:hint="eastAsia" w:ascii="仿宋" w:hAnsi="仿宋" w:eastAsia="仿宋"/>
                <w:bCs/>
                <w:szCs w:val="21"/>
              </w:rPr>
              <w:t>申请日日终的产品份额净值,申购份额保留到小数点后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开放日（T日）及开放时间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开放日为产品成立后每个</w:t>
            </w:r>
            <w:r>
              <w:rPr>
                <w:rFonts w:ascii="仿宋" w:hAnsi="仿宋" w:eastAsia="仿宋"/>
                <w:bCs/>
                <w:szCs w:val="21"/>
              </w:rPr>
              <w:t>工作日</w:t>
            </w:r>
            <w:r>
              <w:rPr>
                <w:rFonts w:hint="eastAsia" w:ascii="仿宋" w:hAnsi="仿宋" w:eastAsia="仿宋"/>
                <w:bCs/>
                <w:szCs w:val="21"/>
              </w:rPr>
              <w:t>，开放日如遇非工作日则顺延至下一个工作日。</w:t>
            </w:r>
          </w:p>
          <w:p>
            <w:pPr>
              <w:adjustRightInd w:val="0"/>
              <w:snapToGrid w:val="0"/>
              <w:spacing w:line="240" w:lineRule="atLeast"/>
              <w:ind w:right="-44"/>
              <w:rPr>
                <w:rFonts w:ascii="仿宋" w:hAnsi="仿宋" w:eastAsia="仿宋"/>
                <w:bCs/>
                <w:szCs w:val="21"/>
              </w:rPr>
            </w:pPr>
            <w:r>
              <w:rPr>
                <w:rFonts w:hint="eastAsia" w:ascii="仿宋" w:hAnsi="仿宋" w:eastAsia="仿宋"/>
                <w:szCs w:val="21"/>
              </w:rPr>
              <w:t xml:space="preserve">    </w:t>
            </w:r>
            <w:r>
              <w:rPr>
                <w:rFonts w:hint="eastAsia" w:ascii="仿宋" w:hAnsi="仿宋" w:eastAsia="仿宋"/>
                <w:bCs/>
                <w:szCs w:val="21"/>
              </w:rPr>
              <w:t>通过华夏银行/华夏理财购买的，</w:t>
            </w:r>
            <w:r>
              <w:rPr>
                <w:rFonts w:hint="eastAsia" w:ascii="仿宋" w:hAnsi="仿宋" w:eastAsia="仿宋"/>
                <w:szCs w:val="21"/>
              </w:rPr>
              <w:t xml:space="preserve">每个开放日的开放时间为 </w:t>
            </w:r>
            <w:r>
              <w:rPr>
                <w:rFonts w:hint="eastAsia" w:ascii="仿宋" w:hAnsi="仿宋" w:eastAsia="仿宋"/>
                <w:szCs w:val="21"/>
                <w:lang w:val="en-US" w:eastAsia="zh-CN"/>
              </w:rPr>
              <w:t>0</w:t>
            </w:r>
            <w:r>
              <w:rPr>
                <w:rFonts w:hint="eastAsia" w:ascii="仿宋" w:hAnsi="仿宋" w:eastAsia="仿宋"/>
                <w:u w:val="single"/>
              </w:rPr>
              <w:t>:00-</w:t>
            </w:r>
            <w:r>
              <w:rPr>
                <w:rFonts w:ascii="仿宋" w:hAnsi="仿宋" w:eastAsia="仿宋"/>
                <w:u w:val="single"/>
              </w:rPr>
              <w:t>15</w:t>
            </w:r>
            <w:r>
              <w:rPr>
                <w:rFonts w:hint="eastAsia" w:ascii="仿宋" w:hAnsi="仿宋" w:eastAsia="仿宋"/>
                <w:u w:val="single"/>
              </w:rPr>
              <w:t>:</w:t>
            </w:r>
            <w:r>
              <w:rPr>
                <w:rFonts w:ascii="仿宋" w:hAnsi="仿宋" w:eastAsia="仿宋"/>
                <w:u w:val="single"/>
              </w:rPr>
              <w:t>3</w:t>
            </w:r>
            <w:r>
              <w:rPr>
                <w:rFonts w:hint="eastAsia" w:ascii="仿宋" w:hAnsi="仿宋" w:eastAsia="仿宋"/>
                <w:u w:val="single"/>
              </w:rPr>
              <w:t>0</w:t>
            </w:r>
            <w:r>
              <w:rPr>
                <w:rFonts w:ascii="仿宋" w:hAnsi="仿宋" w:eastAsia="仿宋"/>
                <w:bCs/>
                <w:szCs w:val="21"/>
              </w:rPr>
              <w:t xml:space="preserve"> </w:t>
            </w:r>
            <w:r>
              <w:rPr>
                <w:rFonts w:hint="eastAsia" w:ascii="仿宋" w:hAnsi="仿宋" w:eastAsia="仿宋"/>
                <w:bCs/>
                <w:szCs w:val="21"/>
              </w:rPr>
              <w:t>，</w:t>
            </w:r>
            <w:r>
              <w:rPr>
                <w:rFonts w:hint="eastAsia" w:ascii="仿宋" w:hAnsi="仿宋" w:eastAsia="仿宋"/>
              </w:rPr>
              <w:t>通过其他代销机构购买的，</w:t>
            </w:r>
            <w:r>
              <w:rPr>
                <w:rFonts w:hint="eastAsia" w:ascii="仿宋" w:hAnsi="仿宋" w:eastAsia="仿宋"/>
                <w:bCs/>
                <w:szCs w:val="21"/>
              </w:rPr>
              <w:t>每个开放日的开放时间</w:t>
            </w:r>
            <w:r>
              <w:rPr>
                <w:rFonts w:hint="eastAsia" w:ascii="仿宋" w:hAnsi="仿宋" w:eastAsia="仿宋"/>
              </w:rPr>
              <w:t>以代销机构规定为准</w:t>
            </w:r>
            <w:r>
              <w:rPr>
                <w:rFonts w:hint="eastAsia" w:ascii="仿宋" w:hAnsi="仿宋" w:eastAsia="仿宋"/>
                <w:szCs w:val="21"/>
              </w:rPr>
              <w:t>。</w:t>
            </w:r>
          </w:p>
          <w:p>
            <w:pPr>
              <w:adjustRightInd w:val="0"/>
              <w:snapToGrid w:val="0"/>
              <w:spacing w:line="240" w:lineRule="atLeast"/>
              <w:ind w:right="-44" w:firstLine="420" w:firstLineChars="200"/>
              <w:jc w:val="left"/>
              <w:rPr>
                <w:rFonts w:ascii="仿宋" w:hAnsi="仿宋" w:eastAsia="仿宋"/>
                <w:szCs w:val="21"/>
              </w:rPr>
            </w:pPr>
            <w:r>
              <w:rPr>
                <w:rFonts w:hint="eastAsia" w:ascii="仿宋" w:hAnsi="仿宋" w:eastAsia="仿宋"/>
                <w:szCs w:val="21"/>
              </w:rPr>
              <w:t>在本理财产品存续期间，如投资者在开放日开放时间内提交申购申请，华夏理财作为当日申购申请处理，该申请只能于当日开放时间内撤销；如投资者在开放日开放时间结束后及非开放日提交申购申请，通过华夏银行/华夏理财购买的，作为下一开放日申购申请处理，该申请只能于下一开放日开放时间结束前撤销；通过其他代销机构购买的，业务处理规则以该代销机构业务规定为准。</w:t>
            </w:r>
          </w:p>
          <w:p>
            <w:pPr>
              <w:adjustRightInd w:val="0"/>
              <w:snapToGrid w:val="0"/>
              <w:spacing w:line="240" w:lineRule="atLeast"/>
              <w:ind w:right="-44" w:firstLine="422" w:firstLineChars="200"/>
              <w:jc w:val="left"/>
              <w:rPr>
                <w:rFonts w:ascii="仿宋" w:hAnsi="仿宋" w:eastAsia="仿宋"/>
                <w:bCs/>
                <w:szCs w:val="21"/>
              </w:rPr>
            </w:pPr>
            <w:r>
              <w:rPr>
                <w:rFonts w:hint="eastAsia" w:ascii="仿宋" w:hAnsi="仿宋" w:eastAsia="仿宋"/>
                <w:b/>
                <w:bCs/>
                <w:szCs w:val="21"/>
              </w:rPr>
              <w:t>每个开放日的份额净值</w:t>
            </w:r>
            <w:r>
              <w:rPr>
                <w:rFonts w:ascii="仿宋" w:hAnsi="仿宋" w:eastAsia="仿宋"/>
                <w:b/>
                <w:bCs/>
                <w:color w:val="000000"/>
                <w:szCs w:val="21"/>
              </w:rPr>
              <w:t>将</w:t>
            </w:r>
            <w:r>
              <w:rPr>
                <w:rFonts w:hint="eastAsia" w:ascii="仿宋" w:hAnsi="仿宋" w:eastAsia="仿宋"/>
                <w:b/>
                <w:bCs/>
                <w:color w:val="000000"/>
                <w:szCs w:val="21"/>
              </w:rPr>
              <w:t>随</w:t>
            </w:r>
            <w:r>
              <w:rPr>
                <w:rFonts w:ascii="仿宋" w:hAnsi="仿宋" w:eastAsia="仿宋"/>
                <w:b/>
                <w:bCs/>
                <w:color w:val="000000"/>
                <w:szCs w:val="21"/>
              </w:rPr>
              <w:t>市场波动，具有不</w:t>
            </w:r>
            <w:r>
              <w:rPr>
                <w:rFonts w:hint="eastAsia" w:ascii="仿宋" w:hAnsi="仿宋" w:eastAsia="仿宋"/>
                <w:b/>
                <w:bCs/>
                <w:color w:val="000000"/>
                <w:szCs w:val="21"/>
              </w:rPr>
              <w:t>确定</w:t>
            </w:r>
            <w:r>
              <w:rPr>
                <w:rFonts w:ascii="仿宋" w:hAnsi="仿宋" w:eastAsia="仿宋"/>
                <w:b/>
                <w:bCs/>
                <w:color w:val="000000"/>
                <w:szCs w:val="21"/>
              </w:rPr>
              <w:t>性</w:t>
            </w:r>
            <w:r>
              <w:rPr>
                <w:rFonts w:hint="eastAsia" w:ascii="仿宋" w:hAnsi="仿宋" w:eastAsia="仿宋"/>
                <w:b/>
                <w:bCs/>
                <w:color w:val="000000"/>
                <w:szCs w:val="21"/>
              </w:rPr>
              <w:t>。</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华夏理财有权调整按上述规则确定的开放日，并在调整之前3个工作日公告。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最短持有期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u w:val="single"/>
              </w:rPr>
            </w:pPr>
            <w:r>
              <w:rPr>
                <w:rFonts w:ascii="仿宋" w:hAnsi="仿宋" w:eastAsia="仿宋"/>
                <w:bCs/>
                <w:szCs w:val="21"/>
                <w:u w:val="single"/>
              </w:rPr>
              <w:t>60</w:t>
            </w:r>
            <w:r>
              <w:rPr>
                <w:rFonts w:hint="eastAsia" w:ascii="仿宋" w:hAnsi="仿宋" w:eastAsia="仿宋"/>
                <w:bCs/>
                <w:szCs w:val="21"/>
                <w:u w:val="single"/>
              </w:rPr>
              <w:t xml:space="preserve"> 个自然日，对投资者的每笔认/申购份额设置最短持有期限，即每笔认购份额从产品成立日（含）或每笔申购份额从申购申请确认日（含）起 </w:t>
            </w:r>
            <w:r>
              <w:rPr>
                <w:rFonts w:ascii="仿宋" w:hAnsi="仿宋" w:eastAsia="仿宋"/>
                <w:bCs/>
                <w:szCs w:val="21"/>
                <w:u w:val="single"/>
              </w:rPr>
              <w:t>60</w:t>
            </w:r>
            <w:r>
              <w:rPr>
                <w:rFonts w:hint="eastAsia" w:ascii="仿宋" w:hAnsi="仿宋" w:eastAsia="仿宋"/>
                <w:bCs/>
                <w:szCs w:val="21"/>
                <w:u w:val="single"/>
              </w:rPr>
              <w:t xml:space="preserve"> 个自然日前，投资者不能提起赎回申请；从该日起（含）之后每个开放日，客户可提交赎回申请，若该日为非开放日，则顺延至下一开放日。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申购及赎回</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投资者可在产品开放日的开放时间提出申购申请；</w:t>
            </w:r>
            <w:r>
              <w:rPr>
                <w:rFonts w:hint="eastAsia" w:ascii="仿宋" w:hAnsi="仿宋" w:eastAsia="仿宋"/>
                <w:b/>
                <w:szCs w:val="21"/>
              </w:rPr>
              <w:t>投资者仅可在满足最短持有期后，在产品开放日的开放时间提出赎回申请。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预约购买及</w:t>
            </w:r>
          </w:p>
          <w:p>
            <w:pPr>
              <w:adjustRightInd w:val="0"/>
              <w:snapToGrid w:val="0"/>
              <w:spacing w:line="240" w:lineRule="atLeast"/>
              <w:jc w:val="center"/>
              <w:rPr>
                <w:rFonts w:ascii="仿宋" w:hAnsi="仿宋" w:eastAsia="仿宋"/>
                <w:bCs/>
                <w:szCs w:val="21"/>
              </w:rPr>
            </w:pPr>
            <w:r>
              <w:rPr>
                <w:rFonts w:ascii="仿宋" w:hAnsi="仿宋" w:eastAsia="仿宋"/>
                <w:bCs/>
                <w:szCs w:val="21"/>
              </w:rPr>
              <w:t>预约赎回</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本产品不支持预约购买。</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 xml:space="preserve">最短持有期内最后一个工作日 </w:t>
            </w:r>
            <w:r>
              <w:rPr>
                <w:rFonts w:ascii="仿宋" w:hAnsi="仿宋" w:eastAsia="仿宋"/>
                <w:u w:val="single"/>
              </w:rPr>
              <w:t>15</w:t>
            </w:r>
            <w:r>
              <w:rPr>
                <w:rFonts w:hint="eastAsia" w:ascii="仿宋" w:hAnsi="仿宋" w:eastAsia="仿宋"/>
                <w:u w:val="single"/>
              </w:rPr>
              <w:t>:</w:t>
            </w:r>
            <w:r>
              <w:rPr>
                <w:rFonts w:ascii="仿宋" w:hAnsi="仿宋" w:eastAsia="仿宋"/>
                <w:u w:val="single"/>
              </w:rPr>
              <w:t>3</w:t>
            </w:r>
            <w:r>
              <w:rPr>
                <w:rFonts w:hint="eastAsia" w:ascii="仿宋" w:hAnsi="仿宋" w:eastAsia="仿宋"/>
                <w:u w:val="single"/>
              </w:rPr>
              <w:t>0（不含）</w:t>
            </w:r>
            <w:r>
              <w:rPr>
                <w:rFonts w:ascii="仿宋" w:hAnsi="仿宋" w:eastAsia="仿宋"/>
                <w:bCs/>
                <w:szCs w:val="21"/>
              </w:rPr>
              <w:t xml:space="preserve"> </w:t>
            </w:r>
            <w:r>
              <w:rPr>
                <w:rFonts w:hint="eastAsia" w:ascii="仿宋" w:hAnsi="仿宋" w:eastAsia="仿宋"/>
                <w:bCs/>
                <w:szCs w:val="21"/>
              </w:rPr>
              <w:t>前，可接受通过</w:t>
            </w:r>
            <w:r>
              <w:rPr>
                <w:rFonts w:ascii="仿宋" w:hAnsi="仿宋" w:eastAsia="仿宋"/>
                <w:bCs/>
                <w:szCs w:val="21"/>
              </w:rPr>
              <w:t>华夏</w:t>
            </w:r>
            <w:r>
              <w:rPr>
                <w:rFonts w:hint="eastAsia" w:ascii="仿宋" w:hAnsi="仿宋" w:eastAsia="仿宋"/>
                <w:bCs/>
                <w:szCs w:val="21"/>
              </w:rPr>
              <w:t>银行/华夏理财</w:t>
            </w:r>
            <w:r>
              <w:rPr>
                <w:rFonts w:ascii="仿宋" w:hAnsi="仿宋" w:eastAsia="仿宋"/>
                <w:bCs/>
                <w:szCs w:val="21"/>
              </w:rPr>
              <w:t>购买的投资者</w:t>
            </w:r>
            <w:r>
              <w:rPr>
                <w:rFonts w:hint="eastAsia" w:ascii="仿宋" w:hAnsi="仿宋" w:eastAsia="仿宋"/>
                <w:bCs/>
                <w:szCs w:val="21"/>
              </w:rPr>
              <w:t>预约赎回申请，视</w:t>
            </w:r>
            <w:r>
              <w:rPr>
                <w:rFonts w:ascii="仿宋" w:hAnsi="仿宋" w:eastAsia="仿宋"/>
                <w:bCs/>
                <w:szCs w:val="21"/>
              </w:rPr>
              <w:t>同在</w:t>
            </w:r>
            <w:r>
              <w:rPr>
                <w:rFonts w:hint="eastAsia" w:ascii="仿宋" w:hAnsi="仿宋" w:eastAsia="仿宋"/>
                <w:bCs/>
                <w:szCs w:val="21"/>
              </w:rPr>
              <w:t>第一个可赎回的开放日开放时间内提交的赎回申请。</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申购</w:t>
            </w:r>
            <w:r>
              <w:rPr>
                <w:rFonts w:ascii="仿宋" w:hAnsi="仿宋" w:eastAsia="仿宋"/>
                <w:bCs/>
                <w:szCs w:val="21"/>
              </w:rPr>
              <w:t>，</w:t>
            </w:r>
            <w:r>
              <w:rPr>
                <w:rFonts w:hint="eastAsia" w:ascii="仿宋" w:hAnsi="仿宋" w:eastAsia="仿宋"/>
                <w:bCs/>
                <w:szCs w:val="21"/>
              </w:rPr>
              <w:t>T+</w:t>
            </w:r>
            <w:r>
              <w:rPr>
                <w:rFonts w:ascii="仿宋" w:hAnsi="仿宋" w:eastAsia="仿宋"/>
                <w:bCs/>
                <w:szCs w:val="21"/>
              </w:rPr>
              <w:t>1日确认。T日为开放日。</w:t>
            </w:r>
            <w:r>
              <w:rPr>
                <w:rFonts w:hint="eastAsia" w:ascii="仿宋" w:hAnsi="仿宋" w:eastAsia="仿宋"/>
                <w:bCs/>
                <w:szCs w:val="21"/>
              </w:rPr>
              <w:t>通过华夏银行/华夏理财购买的，T日扣款；通过其他代销机构购买的，扣款规则以代销机构规定为准。</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以申购申请日的日终份额净值确认，按照“金额申购”的原则计算申购份额。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赎回确认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T日赎回，</w:t>
            </w:r>
            <w:r>
              <w:rPr>
                <w:rFonts w:hint="eastAsia" w:ascii="仿宋" w:hAnsi="仿宋" w:eastAsia="仿宋"/>
                <w:bCs/>
                <w:szCs w:val="21"/>
              </w:rPr>
              <w:t>T+</w:t>
            </w:r>
            <w:r>
              <w:rPr>
                <w:rFonts w:ascii="仿宋" w:hAnsi="仿宋" w:eastAsia="仿宋"/>
                <w:bCs/>
                <w:szCs w:val="21"/>
              </w:rPr>
              <w:t>1日确认</w:t>
            </w:r>
            <w:r>
              <w:rPr>
                <w:rFonts w:hint="eastAsia"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color w:val="FF6600"/>
                <w:szCs w:val="21"/>
              </w:rPr>
            </w:pPr>
            <w:r>
              <w:rPr>
                <w:rFonts w:hint="eastAsia" w:ascii="仿宋" w:hAnsi="仿宋" w:eastAsia="仿宋"/>
                <w:bCs/>
                <w:szCs w:val="21"/>
              </w:rPr>
              <w:t>通过华夏理财赎回的，投资者</w:t>
            </w:r>
            <w:r>
              <w:rPr>
                <w:rFonts w:ascii="仿宋" w:hAnsi="仿宋" w:eastAsia="仿宋"/>
                <w:bCs/>
                <w:szCs w:val="21"/>
              </w:rPr>
              <w:t>赎回资金</w:t>
            </w:r>
            <w:r>
              <w:rPr>
                <w:rFonts w:hint="eastAsia" w:ascii="仿宋" w:hAnsi="仿宋" w:eastAsia="仿宋"/>
                <w:bCs/>
                <w:szCs w:val="21"/>
              </w:rPr>
              <w:t>于T+</w:t>
            </w:r>
            <w:r>
              <w:rPr>
                <w:rFonts w:ascii="仿宋" w:hAnsi="仿宋" w:eastAsia="仿宋"/>
                <w:bCs/>
                <w:szCs w:val="21"/>
              </w:rPr>
              <w:t>2</w:t>
            </w:r>
            <w:r>
              <w:rPr>
                <w:rFonts w:hint="eastAsia" w:ascii="仿宋" w:hAnsi="仿宋" w:eastAsia="仿宋"/>
                <w:bCs/>
                <w:szCs w:val="21"/>
              </w:rPr>
              <w:t>日（内）</w:t>
            </w:r>
            <w:r>
              <w:rPr>
                <w:rFonts w:ascii="仿宋" w:hAnsi="仿宋" w:eastAsia="仿宋"/>
                <w:bCs/>
                <w:szCs w:val="21"/>
              </w:rPr>
              <w:t>到账</w:t>
            </w:r>
            <w:r>
              <w:rPr>
                <w:rFonts w:hint="eastAsia" w:ascii="仿宋" w:hAnsi="仿宋" w:eastAsia="仿宋"/>
                <w:bCs/>
                <w:szCs w:val="21"/>
              </w:rPr>
              <w:t>；通过华夏银行赎回的，投资者</w:t>
            </w:r>
            <w:r>
              <w:rPr>
                <w:rFonts w:ascii="仿宋" w:hAnsi="仿宋" w:eastAsia="仿宋"/>
                <w:bCs/>
                <w:szCs w:val="21"/>
              </w:rPr>
              <w:t>赎回资金</w:t>
            </w:r>
            <w:r>
              <w:rPr>
                <w:rFonts w:hint="eastAsia" w:ascii="仿宋" w:hAnsi="仿宋" w:eastAsia="仿宋"/>
                <w:bCs/>
                <w:szCs w:val="21"/>
              </w:rPr>
              <w:t>于T+</w:t>
            </w:r>
            <w:r>
              <w:rPr>
                <w:rFonts w:ascii="仿宋" w:hAnsi="仿宋" w:eastAsia="仿宋"/>
                <w:bCs/>
                <w:szCs w:val="21"/>
              </w:rPr>
              <w:t>2</w:t>
            </w:r>
            <w:r>
              <w:rPr>
                <w:rFonts w:hint="eastAsia" w:ascii="仿宋" w:hAnsi="仿宋" w:eastAsia="仿宋"/>
                <w:bCs/>
                <w:szCs w:val="21"/>
              </w:rPr>
              <w:t>日（内）</w:t>
            </w:r>
            <w:r>
              <w:rPr>
                <w:rFonts w:ascii="仿宋" w:hAnsi="仿宋" w:eastAsia="仿宋"/>
                <w:bCs/>
                <w:szCs w:val="21"/>
              </w:rPr>
              <w:t>到账</w:t>
            </w:r>
            <w:r>
              <w:rPr>
                <w:rFonts w:hint="eastAsia" w:ascii="仿宋" w:hAnsi="仿宋" w:eastAsia="仿宋"/>
                <w:bCs/>
                <w:szCs w:val="21"/>
              </w:rPr>
              <w:t>；通过其他代销机构赎回的，投资者赎回资金的具体到账账户、到账日及到账时间以代销机构划付规定为准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
                <w:szCs w:val="21"/>
              </w:rPr>
            </w:pPr>
            <w:r>
              <w:rPr>
                <w:rFonts w:ascii="仿宋" w:hAnsi="仿宋" w:eastAsia="仿宋"/>
                <w:bCs/>
                <w:szCs w:val="21"/>
              </w:rPr>
              <w:t>本理财产品采取份额赎回的方式。投资者可选择全额或部分赎回，部分赎回后投资者持有本理财产品的</w:t>
            </w:r>
            <w:r>
              <w:rPr>
                <w:rFonts w:hint="eastAsia" w:ascii="仿宋" w:hAnsi="仿宋" w:eastAsia="仿宋"/>
                <w:bCs/>
                <w:szCs w:val="21"/>
              </w:rPr>
              <w:t>日末余额</w:t>
            </w:r>
            <w:r>
              <w:rPr>
                <w:rFonts w:ascii="仿宋" w:hAnsi="仿宋" w:eastAsia="仿宋"/>
                <w:bCs/>
                <w:szCs w:val="21"/>
              </w:rPr>
              <w:t>低于理财账户最低保留</w:t>
            </w:r>
            <w:r>
              <w:rPr>
                <w:rFonts w:hint="eastAsia" w:ascii="仿宋" w:hAnsi="仿宋" w:eastAsia="仿宋"/>
                <w:bCs/>
                <w:szCs w:val="21"/>
              </w:rPr>
              <w:t>限</w:t>
            </w:r>
            <w:r>
              <w:rPr>
                <w:rFonts w:ascii="仿宋" w:hAnsi="仿宋" w:eastAsia="仿宋"/>
                <w:bCs/>
                <w:szCs w:val="21"/>
              </w:rPr>
              <w:t>额</w:t>
            </w:r>
            <w:r>
              <w:rPr>
                <w:rFonts w:hint="eastAsia" w:ascii="仿宋" w:hAnsi="仿宋" w:eastAsia="仿宋"/>
                <w:bCs/>
                <w:szCs w:val="21"/>
              </w:rPr>
              <w:t>时</w:t>
            </w:r>
            <w:r>
              <w:rPr>
                <w:rFonts w:ascii="仿宋" w:hAnsi="仿宋" w:eastAsia="仿宋"/>
                <w:bCs/>
                <w:szCs w:val="21"/>
              </w:rPr>
              <w:t>，</w:t>
            </w:r>
            <w:r>
              <w:rPr>
                <w:rFonts w:hint="eastAsia" w:ascii="仿宋" w:hAnsi="仿宋" w:eastAsia="仿宋"/>
                <w:b/>
                <w:szCs w:val="21"/>
              </w:rPr>
              <w:t>华夏理财将在赎回确认日末对投资者的剩余份额发起强制赎回</w:t>
            </w:r>
            <w:r>
              <w:rPr>
                <w:rFonts w:ascii="仿宋" w:hAnsi="仿宋" w:eastAsia="仿宋"/>
                <w:b/>
                <w:szCs w:val="21"/>
              </w:rPr>
              <w:t>。</w:t>
            </w:r>
          </w:p>
          <w:p>
            <w:pPr>
              <w:adjustRightInd w:val="0"/>
              <w:snapToGrid w:val="0"/>
              <w:spacing w:line="240" w:lineRule="atLeast"/>
              <w:ind w:right="-44" w:firstLine="422" w:firstLineChars="200"/>
              <w:jc w:val="left"/>
              <w:rPr>
                <w:rFonts w:ascii="仿宋" w:hAnsi="仿宋" w:eastAsia="仿宋"/>
                <w:b/>
                <w:szCs w:val="21"/>
              </w:rPr>
            </w:pPr>
            <w:r>
              <w:rPr>
                <w:rFonts w:hint="eastAsia" w:ascii="仿宋" w:hAnsi="仿宋" w:eastAsia="仿宋"/>
                <w:b/>
                <w:szCs w:val="21"/>
              </w:rPr>
              <w:t>若客户在同一开放日提交申购和赎回原持有份额的交易申请，经申购和赎回交易确认后的日末余额低于理财账户最低保留限额时，华夏理财将在赎回确认日末对投资者的剩余份额发起强制赎回。</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代销机构如另有规定，从其规定。</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本产品赎回遵循“先进先出”原则。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赎回金额的计算</w:t>
            </w:r>
          </w:p>
        </w:tc>
        <w:tc>
          <w:tcPr>
            <w:tcW w:w="7404" w:type="dxa"/>
            <w:tcBorders>
              <w:top w:val="single" w:color="auto" w:sz="4" w:space="0"/>
              <w:left w:val="single" w:color="auto" w:sz="4" w:space="0"/>
              <w:bottom w:val="single" w:color="auto" w:sz="4" w:space="0"/>
              <w:right w:val="single" w:color="auto" w:sz="4" w:space="0"/>
            </w:tcBorders>
            <w:vAlign w:val="center"/>
          </w:tcPr>
          <w:p>
            <w:pPr>
              <w:spacing w:line="240" w:lineRule="atLeast"/>
              <w:ind w:firstLine="420" w:firstLineChars="200"/>
              <w:rPr>
                <w:rFonts w:ascii="仿宋" w:hAnsi="仿宋" w:eastAsia="仿宋"/>
                <w:bCs/>
                <w:szCs w:val="21"/>
                <w:u w:val="single"/>
              </w:rPr>
            </w:pPr>
            <w:r>
              <w:rPr>
                <w:rFonts w:ascii="仿宋" w:hAnsi="仿宋" w:eastAsia="仿宋"/>
                <w:bCs/>
                <w:szCs w:val="21"/>
              </w:rPr>
              <w:t>赎回金额＝赎回份额×赎回</w:t>
            </w:r>
            <w:r>
              <w:rPr>
                <w:rFonts w:hint="eastAsia" w:ascii="仿宋" w:hAnsi="仿宋" w:eastAsia="仿宋"/>
                <w:bCs/>
                <w:szCs w:val="21"/>
              </w:rPr>
              <w:t xml:space="preserve">申请日的产品份额净值，保留到小数点后 2 </w:t>
            </w:r>
            <w:r>
              <w:rPr>
                <w:rFonts w:hint="eastAsia" w:ascii="仿宋" w:hAnsi="仿宋" w:eastAsia="仿宋"/>
                <w:bCs/>
                <w:szCs w:val="21"/>
                <w:u w:val="single"/>
              </w:rPr>
              <w:t xml:space="preserve">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到期/终止的理财本金</w:t>
            </w:r>
            <w:r>
              <w:rPr>
                <w:rFonts w:ascii="仿宋" w:hAnsi="仿宋" w:eastAsia="仿宋"/>
                <w:bCs/>
                <w:szCs w:val="21"/>
              </w:rPr>
              <w:t>及</w:t>
            </w:r>
            <w:r>
              <w:rPr>
                <w:rFonts w:hint="eastAsia" w:ascii="仿宋" w:hAnsi="仿宋" w:eastAsia="仿宋"/>
                <w:bCs/>
                <w:szCs w:val="21"/>
              </w:rPr>
              <w:t>收益</w:t>
            </w:r>
          </w:p>
          <w:p>
            <w:pPr>
              <w:adjustRightInd w:val="0"/>
              <w:snapToGrid w:val="0"/>
              <w:spacing w:line="240" w:lineRule="atLeast"/>
              <w:jc w:val="center"/>
              <w:rPr>
                <w:rFonts w:ascii="仿宋" w:hAnsi="仿宋" w:eastAsia="仿宋"/>
                <w:bCs/>
                <w:szCs w:val="21"/>
              </w:rPr>
            </w:pP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华夏理财将于到期/终止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根据实际投资结果向华夏理财客户及代销机构一次性划付理财本金及收益（如有），代销机构客户的理财本金及收益（如有）的具体到账账户、到账日及到账时间以代销机构划付规定为准。</w:t>
            </w:r>
          </w:p>
          <w:p>
            <w:pPr>
              <w:spacing w:line="240" w:lineRule="atLeast"/>
              <w:ind w:firstLine="420" w:firstLineChars="200"/>
              <w:rPr>
                <w:rFonts w:ascii="仿宋" w:hAnsi="仿宋" w:eastAsia="仿宋"/>
                <w:bCs/>
                <w:szCs w:val="21"/>
              </w:rPr>
            </w:pPr>
            <w:r>
              <w:rPr>
                <w:rFonts w:hint="eastAsia" w:ascii="仿宋" w:hAnsi="仿宋" w:eastAsia="仿宋"/>
                <w:bCs/>
                <w:szCs w:val="21"/>
              </w:rPr>
              <w:t>客户到期/终止本金及收益金额=∑（每笔份额*到期/终止日的产品份额净值），每笔金额计算保留到小数点后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认购/申购/赎回申请拒绝</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djustRightInd w:val="0"/>
              <w:snapToGrid w:val="0"/>
              <w:spacing w:line="300" w:lineRule="exact"/>
              <w:ind w:firstLine="420" w:firstLineChars="200"/>
              <w:rPr>
                <w:rFonts w:ascii="仿宋" w:hAnsi="仿宋" w:eastAsia="仿宋"/>
                <w:b/>
                <w:bCs/>
                <w:szCs w:val="21"/>
              </w:rPr>
            </w:pPr>
            <w:r>
              <w:rPr>
                <w:rFonts w:hint="eastAsia" w:ascii="仿宋" w:hAnsi="仿宋" w:eastAsia="仿宋"/>
                <w:bCs/>
                <w:szCs w:val="21"/>
              </w:rPr>
              <w:t>华夏理财根据市场情况或理财产品实际投资运作的情况确定理财产品规模上限（代销机构可控制自身销售额度），若本理财产品余额超过产品规模上限，</w:t>
            </w:r>
            <w:r>
              <w:rPr>
                <w:rFonts w:hint="eastAsia" w:ascii="仿宋" w:hAnsi="仿宋" w:eastAsia="仿宋"/>
                <w:b/>
                <w:bCs/>
                <w:szCs w:val="21"/>
              </w:rPr>
              <w:t>华夏理财有权在成立日/申购确认日采取比例确认等方式对购买申请给予部分确认。</w:t>
            </w:r>
          </w:p>
          <w:p>
            <w:pPr>
              <w:tabs>
                <w:tab w:val="left" w:pos="720"/>
              </w:tabs>
              <w:adjustRightInd w:val="0"/>
              <w:snapToGrid w:val="0"/>
              <w:spacing w:line="300" w:lineRule="exact"/>
              <w:ind w:firstLine="422" w:firstLineChars="200"/>
              <w:rPr>
                <w:rFonts w:ascii="仿宋" w:hAnsi="仿宋" w:eastAsia="仿宋"/>
                <w:bCs/>
                <w:szCs w:val="21"/>
              </w:rPr>
            </w:pPr>
            <w:r>
              <w:rPr>
                <w:rFonts w:hint="eastAsia" w:ascii="仿宋" w:hAnsi="仿宋" w:eastAsia="仿宋"/>
                <w:b/>
                <w:szCs w:val="21"/>
              </w:rPr>
              <w:t>华夏理财认为接受大额认购/申购申请可能会影响或损害理财产品投资者权益时，有权拒绝或暂停该认购/申购申请。</w:t>
            </w:r>
          </w:p>
          <w:p>
            <w:pPr>
              <w:spacing w:line="240" w:lineRule="atLeast"/>
              <w:rPr>
                <w:rFonts w:ascii="仿宋" w:hAnsi="仿宋" w:eastAsia="仿宋"/>
                <w:bCs/>
                <w:szCs w:val="21"/>
              </w:rPr>
            </w:pPr>
            <w:r>
              <w:rPr>
                <w:rFonts w:hint="eastAsia" w:ascii="仿宋" w:hAnsi="仿宋" w:eastAsia="仿宋"/>
                <w:bCs/>
                <w:szCs w:val="21"/>
              </w:rPr>
              <w:t xml:space="preserve">    若因超过产品规模上限或</w:t>
            </w:r>
            <w:r>
              <w:rPr>
                <w:rFonts w:ascii="仿宋" w:hAnsi="仿宋" w:eastAsia="仿宋"/>
                <w:bCs/>
                <w:szCs w:val="21"/>
              </w:rPr>
              <w:t>发生巨额赎回</w:t>
            </w:r>
            <w:r>
              <w:rPr>
                <w:rFonts w:hint="eastAsia" w:ascii="仿宋" w:hAnsi="仿宋" w:eastAsia="仿宋"/>
                <w:bCs/>
                <w:szCs w:val="21"/>
              </w:rPr>
              <w:t>,华夏理财拒绝、延期办理或部分接受客户的认购/申购/赎回</w:t>
            </w:r>
            <w:r>
              <w:rPr>
                <w:rFonts w:ascii="仿宋" w:hAnsi="仿宋" w:eastAsia="仿宋"/>
                <w:bCs/>
                <w:szCs w:val="21"/>
              </w:rPr>
              <w:t>申请时，</w:t>
            </w:r>
            <w:r>
              <w:rPr>
                <w:rFonts w:hint="eastAsia" w:ascii="仿宋" w:hAnsi="仿宋" w:eastAsia="仿宋"/>
                <w:bCs/>
                <w:szCs w:val="21"/>
              </w:rPr>
              <w:t>华夏理财于</w:t>
            </w:r>
            <w:r>
              <w:rPr>
                <w:rFonts w:ascii="仿宋" w:hAnsi="仿宋" w:eastAsia="仿宋"/>
                <w:bCs/>
                <w:szCs w:val="21"/>
              </w:rPr>
              <w:t>3</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巨额赎回</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ascii="仿宋" w:hAnsi="仿宋" w:eastAsia="仿宋"/>
                <w:bCs/>
                <w:szCs w:val="21"/>
              </w:rPr>
              <w:t>单个开放日中，本</w:t>
            </w:r>
            <w:r>
              <w:rPr>
                <w:rFonts w:hint="eastAsia" w:ascii="仿宋" w:hAnsi="仿宋" w:eastAsia="仿宋"/>
                <w:bCs/>
                <w:szCs w:val="21"/>
              </w:rPr>
              <w:t>理财</w:t>
            </w:r>
            <w:r>
              <w:rPr>
                <w:rFonts w:ascii="仿宋" w:hAnsi="仿宋" w:eastAsia="仿宋"/>
                <w:bCs/>
                <w:szCs w:val="21"/>
              </w:rPr>
              <w:t>产品的净赎回申请</w:t>
            </w:r>
            <w:r>
              <w:rPr>
                <w:rFonts w:hint="eastAsia" w:ascii="仿宋" w:hAnsi="仿宋" w:eastAsia="仿宋"/>
                <w:bCs/>
                <w:szCs w:val="21"/>
              </w:rPr>
              <w:t>份额</w:t>
            </w:r>
            <w:r>
              <w:rPr>
                <w:rFonts w:ascii="仿宋" w:hAnsi="仿宋" w:eastAsia="仿宋"/>
                <w:bCs/>
                <w:szCs w:val="21"/>
              </w:rPr>
              <w:t>（赎回申请总份额扣除申购</w:t>
            </w:r>
            <w:r>
              <w:rPr>
                <w:rFonts w:hint="eastAsia" w:ascii="仿宋" w:hAnsi="仿宋" w:eastAsia="仿宋"/>
                <w:bCs/>
                <w:szCs w:val="21"/>
              </w:rPr>
              <w:t>申请</w:t>
            </w:r>
            <w:r>
              <w:rPr>
                <w:rFonts w:ascii="仿宋" w:hAnsi="仿宋" w:eastAsia="仿宋"/>
                <w:bCs/>
                <w:szCs w:val="21"/>
              </w:rPr>
              <w:t>总份额后的余额）超过上一日产品总份额的</w:t>
            </w:r>
            <w:r>
              <w:rPr>
                <w:rFonts w:ascii="仿宋" w:hAnsi="仿宋" w:eastAsia="仿宋"/>
                <w:bCs/>
                <w:szCs w:val="21"/>
                <w:u w:val="single"/>
              </w:rPr>
              <w:t xml:space="preserve"> 10</w:t>
            </w:r>
            <w:r>
              <w:rPr>
                <w:rFonts w:ascii="仿宋" w:hAnsi="仿宋" w:eastAsia="仿宋"/>
                <w:bCs/>
                <w:szCs w:val="21"/>
              </w:rPr>
              <w:t>%为巨额赎回</w:t>
            </w:r>
            <w:r>
              <w:rPr>
                <w:rFonts w:hint="eastAsia" w:ascii="仿宋" w:hAnsi="仿宋" w:eastAsia="仿宋"/>
                <w:bCs/>
                <w:szCs w:val="21"/>
              </w:rPr>
              <w:t>。</w:t>
            </w:r>
          </w:p>
          <w:p>
            <w:pPr>
              <w:tabs>
                <w:tab w:val="left" w:pos="720"/>
              </w:tabs>
              <w:autoSpaceDE w:val="0"/>
              <w:autoSpaceDN w:val="0"/>
              <w:adjustRightInd w:val="0"/>
              <w:snapToGrid w:val="0"/>
              <w:spacing w:line="240" w:lineRule="atLeast"/>
              <w:ind w:right="18" w:firstLine="422" w:firstLineChars="200"/>
              <w:rPr>
                <w:rFonts w:ascii="仿宋" w:hAnsi="仿宋" w:eastAsia="仿宋"/>
                <w:b/>
                <w:szCs w:val="21"/>
              </w:rPr>
            </w:pPr>
            <w:r>
              <w:rPr>
                <w:rFonts w:hint="eastAsia" w:ascii="仿宋" w:hAnsi="仿宋" w:eastAsia="仿宋"/>
                <w:b/>
                <w:szCs w:val="21"/>
              </w:rPr>
              <w:t>如发生巨额赎回，</w:t>
            </w:r>
            <w:r>
              <w:rPr>
                <w:rFonts w:ascii="仿宋" w:hAnsi="仿宋" w:eastAsia="仿宋"/>
                <w:b/>
                <w:szCs w:val="21"/>
              </w:rPr>
              <w:t>管理人</w:t>
            </w:r>
            <w:r>
              <w:rPr>
                <w:rFonts w:hint="eastAsia" w:ascii="仿宋" w:hAnsi="仿宋" w:eastAsia="仿宋"/>
                <w:b/>
                <w:szCs w:val="21"/>
              </w:rPr>
              <w:t>当日办理的赎回份额不低于前一日终理财产品总份额的10%。</w:t>
            </w:r>
          </w:p>
          <w:p>
            <w:pPr>
              <w:tabs>
                <w:tab w:val="left" w:pos="720"/>
              </w:tabs>
              <w:adjustRightInd w:val="0"/>
              <w:snapToGrid w:val="0"/>
              <w:spacing w:line="300" w:lineRule="exact"/>
              <w:ind w:firstLine="422" w:firstLineChars="200"/>
              <w:rPr>
                <w:rFonts w:ascii="仿宋" w:hAnsi="仿宋" w:eastAsia="仿宋"/>
                <w:bCs/>
                <w:szCs w:val="21"/>
              </w:rPr>
            </w:pPr>
            <w:r>
              <w:rPr>
                <w:rFonts w:ascii="仿宋" w:hAnsi="仿宋" w:eastAsia="仿宋"/>
                <w:b/>
                <w:szCs w:val="21"/>
              </w:rPr>
              <w:t>管理人</w:t>
            </w:r>
            <w:r>
              <w:rPr>
                <w:rFonts w:hint="eastAsia" w:ascii="仿宋" w:hAnsi="仿宋" w:eastAsia="仿宋"/>
                <w:b/>
                <w:bCs/>
                <w:szCs w:val="21"/>
              </w:rPr>
              <w:t>有权</w:t>
            </w:r>
            <w:r>
              <w:rPr>
                <w:rFonts w:hint="eastAsia" w:ascii="仿宋" w:hAnsi="仿宋" w:eastAsia="仿宋"/>
                <w:b/>
                <w:szCs w:val="21"/>
              </w:rPr>
              <w:t>对其余的赎回申请</w:t>
            </w:r>
            <w:r>
              <w:rPr>
                <w:rFonts w:hint="eastAsia" w:ascii="仿宋" w:hAnsi="仿宋" w:eastAsia="仿宋"/>
                <w:b/>
                <w:bCs/>
                <w:szCs w:val="21"/>
              </w:rPr>
              <w:t>采取</w:t>
            </w:r>
            <w:r>
              <w:rPr>
                <w:rFonts w:hint="eastAsia" w:ascii="仿宋" w:hAnsi="仿宋" w:eastAsia="仿宋"/>
                <w:b/>
                <w:szCs w:val="21"/>
              </w:rPr>
              <w:t>暂停接受的</w:t>
            </w:r>
            <w:r>
              <w:rPr>
                <w:rFonts w:ascii="仿宋" w:hAnsi="仿宋" w:eastAsia="仿宋"/>
                <w:b/>
                <w:szCs w:val="21"/>
              </w:rPr>
              <w:t>应对措施。</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1.募集期认购撤销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投资者可撤销已提交的认购申请，具体规定如下：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rPr>
              <w:t>1）只能全额撤销。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认购的，投资者撤销的本金在</w:t>
            </w:r>
            <w:r>
              <w:rPr>
                <w:rFonts w:ascii="仿宋" w:hAnsi="仿宋" w:eastAsia="仿宋"/>
                <w:bCs/>
                <w:szCs w:val="21"/>
              </w:rPr>
              <w:t>2个工作日内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w:t>
            </w:r>
            <w:r>
              <w:rPr>
                <w:rFonts w:hint="eastAsia" w:ascii="仿宋" w:hAnsi="仿宋" w:eastAsia="仿宋"/>
                <w:lang w:val="en-US" w:eastAsia="zh-CN"/>
              </w:rPr>
              <w:t>5</w:t>
            </w:r>
            <w:r>
              <w:rPr>
                <w:rFonts w:hint="eastAsia" w:ascii="仿宋" w:hAnsi="仿宋" w:eastAsia="仿宋"/>
              </w:rPr>
              <w:t>:30（含）之后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（5</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w:t>
            </w:r>
            <w:r>
              <w:rPr>
                <w:rFonts w:hint="eastAsia" w:ascii="仿宋" w:hAnsi="仿宋" w:eastAsia="仿宋"/>
                <w:lang w:val="en-US" w:eastAsia="zh-CN"/>
              </w:rPr>
              <w:t>5</w:t>
            </w:r>
            <w:r>
              <w:rPr>
                <w:rFonts w:hint="eastAsia" w:ascii="仿宋" w:hAnsi="仿宋" w:eastAsia="仿宋"/>
              </w:rPr>
              <w:t>:30（含）之后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（6</w:t>
            </w:r>
            <w:r>
              <w:rPr>
                <w:rFonts w:hint="eastAsia" w:ascii="仿宋" w:hAnsi="仿宋" w:eastAsia="仿宋"/>
                <w:bCs/>
                <w:szCs w:val="21"/>
              </w:rPr>
              <w:t>）通过其他代销机构认购的，撤销规定以代销机构规定为准。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2.开放日申购、赎回撤销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投资者可于开放日开放时间内撤销当日已提交的申购、赎回申请，</w:t>
            </w:r>
          </w:p>
          <w:p>
            <w:pPr>
              <w:adjustRightInd w:val="0"/>
              <w:snapToGrid w:val="0"/>
              <w:spacing w:line="240" w:lineRule="atLeast"/>
              <w:rPr>
                <w:rFonts w:ascii="仿宋" w:hAnsi="仿宋" w:eastAsia="仿宋"/>
                <w:bCs/>
                <w:szCs w:val="21"/>
              </w:rPr>
            </w:pPr>
            <w:r>
              <w:rPr>
                <w:rFonts w:hint="eastAsia" w:ascii="仿宋" w:hAnsi="仿宋" w:eastAsia="仿宋"/>
                <w:bCs/>
                <w:szCs w:val="21"/>
              </w:rPr>
              <w:t>具体规定如下：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rPr>
              <w:t>1）只能全额撤销。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申购的，投资者撤销申购的本金在</w:t>
            </w:r>
            <w:r>
              <w:rPr>
                <w:rFonts w:ascii="仿宋" w:hAnsi="仿宋" w:eastAsia="仿宋"/>
                <w:bCs/>
                <w:szCs w:val="21"/>
              </w:rPr>
              <w:t xml:space="preserve"> 2个工作日内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）通过华夏银行申购的，投资者撤销申购的本金实时到账。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）通过华夏理财申购的</w:t>
            </w:r>
            <w:r>
              <w:rPr>
                <w:rFonts w:ascii="仿宋" w:hAnsi="仿宋" w:eastAsia="仿宋"/>
                <w:bCs/>
                <w:szCs w:val="21"/>
              </w:rPr>
              <w:t>，</w:t>
            </w:r>
            <w:r>
              <w:rPr>
                <w:rFonts w:hint="eastAsia" w:ascii="仿宋" w:hAnsi="仿宋" w:eastAsia="仿宋"/>
              </w:rPr>
              <w:t>开放日15:</w:t>
            </w:r>
            <w:r>
              <w:rPr>
                <w:rFonts w:ascii="仿宋" w:hAnsi="仿宋" w:eastAsia="仿宋"/>
              </w:rPr>
              <w:t>30</w:t>
            </w:r>
            <w:r>
              <w:rPr>
                <w:rFonts w:hint="eastAsia" w:ascii="仿宋" w:hAnsi="仿宋" w:eastAsia="仿宋"/>
              </w:rPr>
              <w:t>（含）之后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（5</w:t>
            </w:r>
            <w:r>
              <w:rPr>
                <w:rFonts w:hint="eastAsia" w:ascii="仿宋" w:hAnsi="仿宋" w:eastAsia="仿宋"/>
                <w:bCs/>
                <w:szCs w:val="21"/>
              </w:rPr>
              <w:t>）通过华夏银行申购的</w:t>
            </w:r>
            <w:r>
              <w:rPr>
                <w:rFonts w:ascii="仿宋" w:hAnsi="仿宋" w:eastAsia="仿宋"/>
                <w:bCs/>
                <w:szCs w:val="21"/>
              </w:rPr>
              <w:t>，</w:t>
            </w:r>
            <w:r>
              <w:rPr>
                <w:rFonts w:hint="eastAsia" w:ascii="仿宋" w:hAnsi="仿宋" w:eastAsia="仿宋"/>
              </w:rPr>
              <w:t>开放日15:</w:t>
            </w:r>
            <w:r>
              <w:rPr>
                <w:rFonts w:ascii="仿宋" w:hAnsi="仿宋" w:eastAsia="仿宋"/>
              </w:rPr>
              <w:t>30</w:t>
            </w:r>
            <w:r>
              <w:rPr>
                <w:rFonts w:hint="eastAsia" w:ascii="仿宋" w:hAnsi="仿宋" w:eastAsia="仿宋"/>
              </w:rPr>
              <w:t>（含）之后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（6</w:t>
            </w:r>
            <w:r>
              <w:rPr>
                <w:rFonts w:hint="eastAsia" w:ascii="仿宋" w:hAnsi="仿宋" w:eastAsia="仿宋"/>
                <w:bCs/>
                <w:szCs w:val="21"/>
              </w:rPr>
              <w:t>）通过其他代销机构申购的，撤销规定以代销机构规定为准。</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3.预约</w:t>
            </w:r>
            <w:r>
              <w:rPr>
                <w:rFonts w:ascii="仿宋" w:hAnsi="仿宋" w:eastAsia="仿宋"/>
                <w:bCs/>
                <w:szCs w:val="21"/>
              </w:rPr>
              <w:t>申购、</w:t>
            </w:r>
            <w:r>
              <w:rPr>
                <w:rFonts w:hint="eastAsia" w:ascii="仿宋" w:hAnsi="仿宋" w:eastAsia="仿宋"/>
                <w:bCs/>
                <w:szCs w:val="21"/>
              </w:rPr>
              <w:t>预约</w:t>
            </w:r>
            <w:r>
              <w:rPr>
                <w:rFonts w:ascii="仿宋" w:hAnsi="仿宋" w:eastAsia="仿宋"/>
                <w:bCs/>
                <w:szCs w:val="21"/>
              </w:rPr>
              <w:t>赎回撤销</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通过华夏银行/华夏理财购买的，封闭期内的最后</w:t>
            </w:r>
            <w:r>
              <w:rPr>
                <w:rFonts w:ascii="仿宋" w:hAnsi="仿宋" w:eastAsia="仿宋"/>
                <w:bCs/>
                <w:szCs w:val="21"/>
              </w:rPr>
              <w:t>一</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bCs/>
                <w:szCs w:val="21"/>
              </w:rPr>
              <w:t xml:space="preserve"> </w:t>
            </w:r>
            <w:r>
              <w:rPr>
                <w:rFonts w:ascii="仿宋" w:hAnsi="仿宋" w:eastAsia="仿宋"/>
                <w:bCs/>
                <w:szCs w:val="21"/>
                <w:u w:val="single"/>
              </w:rPr>
              <w:t>15:30</w:t>
            </w:r>
            <w:r>
              <w:rPr>
                <w:rFonts w:hint="eastAsia" w:ascii="仿宋" w:hAnsi="仿宋" w:eastAsia="仿宋"/>
                <w:bCs/>
                <w:szCs w:val="21"/>
                <w:u w:val="single"/>
              </w:rPr>
              <w:t>（不含）</w:t>
            </w:r>
            <w:r>
              <w:rPr>
                <w:rFonts w:hint="eastAsia" w:ascii="仿宋" w:hAnsi="仿宋" w:eastAsia="仿宋"/>
                <w:bCs/>
                <w:szCs w:val="21"/>
              </w:rPr>
              <w:t>前</w:t>
            </w:r>
            <w:r>
              <w:rPr>
                <w:rFonts w:ascii="仿宋" w:hAnsi="仿宋" w:eastAsia="仿宋"/>
                <w:bCs/>
                <w:szCs w:val="21"/>
              </w:rPr>
              <w:t>，</w:t>
            </w:r>
            <w:r>
              <w:rPr>
                <w:rFonts w:hint="eastAsia" w:ascii="仿宋" w:hAnsi="仿宋" w:eastAsia="仿宋"/>
                <w:bCs/>
                <w:szCs w:val="21"/>
              </w:rPr>
              <w:t>投资</w:t>
            </w:r>
            <w:r>
              <w:rPr>
                <w:rFonts w:ascii="仿宋" w:hAnsi="仿宋" w:eastAsia="仿宋"/>
                <w:bCs/>
                <w:szCs w:val="21"/>
              </w:rPr>
              <w:t>者</w:t>
            </w:r>
            <w:r>
              <w:rPr>
                <w:rFonts w:hint="eastAsia" w:ascii="仿宋" w:hAnsi="仿宋" w:eastAsia="仿宋"/>
                <w:bCs/>
                <w:szCs w:val="21"/>
              </w:rPr>
              <w:t>可</w:t>
            </w:r>
            <w:r>
              <w:rPr>
                <w:rFonts w:ascii="仿宋" w:hAnsi="仿宋" w:eastAsia="仿宋"/>
                <w:bCs/>
                <w:szCs w:val="21"/>
              </w:rPr>
              <w:t>全额撤销已提交的</w:t>
            </w:r>
            <w:r>
              <w:rPr>
                <w:rFonts w:hint="eastAsia" w:ascii="仿宋" w:hAnsi="仿宋" w:eastAsia="仿宋"/>
                <w:bCs/>
                <w:szCs w:val="21"/>
              </w:rPr>
              <w:t>预约</w:t>
            </w:r>
            <w:r>
              <w:rPr>
                <w:rFonts w:ascii="仿宋" w:hAnsi="仿宋" w:eastAsia="仿宋"/>
                <w:bCs/>
                <w:szCs w:val="21"/>
              </w:rPr>
              <w:t>购买</w:t>
            </w:r>
            <w:r>
              <w:rPr>
                <w:rFonts w:hint="eastAsia" w:ascii="仿宋" w:hAnsi="仿宋" w:eastAsia="仿宋"/>
                <w:bCs/>
                <w:szCs w:val="21"/>
              </w:rPr>
              <w:t>、预约赎回申请；通过其他代销机构购买的，预约申购、预约赎回撤销以代销机构的规定为准。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认购费/申购费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本理财产品不收取认购费/申购费。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本理财产品不收取赎回费。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0.0</w:t>
            </w:r>
            <w:r>
              <w:rPr>
                <w:rFonts w:hint="eastAsia" w:ascii="仿宋" w:hAnsi="仿宋" w:eastAsia="仿宋"/>
                <w:b/>
                <w:bCs w:val="0"/>
                <w:szCs w:val="21"/>
                <w:lang w:val="en-US" w:eastAsia="zh-CN"/>
              </w:rPr>
              <w:t>3</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F=E×【0.0</w:t>
            </w:r>
            <w:r>
              <w:rPr>
                <w:rFonts w:hint="eastAsia" w:ascii="仿宋" w:hAnsi="仿宋" w:eastAsia="仿宋"/>
                <w:b/>
                <w:bCs w:val="0"/>
                <w:szCs w:val="21"/>
                <w:lang w:val="en-US" w:eastAsia="zh-CN"/>
              </w:rPr>
              <w:t>3</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F为托管费  ；E为计算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cs="Cambria"/>
                <w:b/>
                <w:bCs w:val="0"/>
                <w:szCs w:val="21"/>
                <w:lang w:val="en-US" w:eastAsia="zh-CN"/>
              </w:rPr>
            </w:pPr>
            <w:r>
              <w:rPr>
                <w:rFonts w:hint="eastAsia" w:ascii="仿宋" w:hAnsi="仿宋" w:eastAsia="仿宋" w:cs="Cambria"/>
                <w:b/>
                <w:bCs w:val="0"/>
                <w:szCs w:val="21"/>
                <w:lang w:val="en-US" w:eastAsia="zh-CN"/>
              </w:rPr>
              <w:t>A份额</w:t>
            </w:r>
            <w:r>
              <w:rPr>
                <w:rFonts w:hint="eastAsia" w:ascii="仿宋" w:hAnsi="仿宋" w:eastAsia="仿宋" w:cs="Cambria"/>
                <w:b/>
                <w:bCs w:val="0"/>
                <w:szCs w:val="21"/>
              </w:rPr>
              <w:t>：</w:t>
            </w:r>
            <w:r>
              <w:rPr>
                <w:rFonts w:hint="eastAsia" w:ascii="仿宋" w:hAnsi="仿宋" w:eastAsia="仿宋"/>
                <w:b/>
                <w:bCs w:val="0"/>
                <w:szCs w:val="21"/>
              </w:rPr>
              <w:t>0.</w:t>
            </w:r>
            <w:r>
              <w:rPr>
                <w:rFonts w:hint="eastAsia" w:ascii="仿宋" w:hAnsi="仿宋" w:eastAsia="仿宋"/>
                <w:b/>
                <w:bCs w:val="0"/>
                <w:szCs w:val="21"/>
                <w:lang w:val="en-US" w:eastAsia="zh-CN"/>
              </w:rPr>
              <w:t>30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F=E×【各</w:t>
            </w:r>
            <w:r>
              <w:rPr>
                <w:rFonts w:ascii="仿宋" w:hAnsi="仿宋" w:eastAsia="仿宋"/>
                <w:b/>
                <w:bCs w:val="0"/>
                <w:szCs w:val="21"/>
              </w:rPr>
              <w:t>份额</w:t>
            </w:r>
            <w:r>
              <w:rPr>
                <w:rFonts w:hint="eastAsia" w:ascii="仿宋" w:hAnsi="仿宋" w:eastAsia="仿宋"/>
                <w:b/>
                <w:bCs w:val="0"/>
                <w:szCs w:val="21"/>
              </w:rPr>
              <w:t>销售</w:t>
            </w:r>
            <w:r>
              <w:rPr>
                <w:rFonts w:ascii="仿宋" w:hAnsi="仿宋" w:eastAsia="仿宋"/>
                <w:b/>
                <w:bCs w:val="0"/>
                <w:szCs w:val="21"/>
              </w:rPr>
              <w:t>手续费率</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F为各份额销售</w:t>
            </w:r>
            <w:r>
              <w:rPr>
                <w:rFonts w:ascii="仿宋" w:hAnsi="仿宋" w:eastAsia="仿宋"/>
                <w:b/>
                <w:bCs w:val="0"/>
                <w:szCs w:val="21"/>
              </w:rPr>
              <w:t>手续费</w:t>
            </w:r>
            <w:r>
              <w:rPr>
                <w:rFonts w:hint="eastAsia" w:ascii="仿宋" w:hAnsi="仿宋" w:eastAsia="仿宋"/>
                <w:b/>
                <w:bCs w:val="0"/>
                <w:szCs w:val="21"/>
              </w:rPr>
              <w:t>；E为计算</w:t>
            </w:r>
            <w:r>
              <w:rPr>
                <w:rFonts w:ascii="仿宋" w:hAnsi="仿宋" w:eastAsia="仿宋"/>
                <w:b/>
                <w:bCs w:val="0"/>
                <w:szCs w:val="21"/>
              </w:rPr>
              <w:t>基数</w:t>
            </w:r>
            <w:r>
              <w:rPr>
                <w:rFonts w:hint="eastAsia" w:ascii="仿宋" w:hAnsi="仿宋" w:eastAsia="仿宋"/>
                <w:b/>
                <w:bCs w:val="0"/>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0.</w:t>
            </w:r>
            <w:r>
              <w:rPr>
                <w:rFonts w:hint="eastAsia" w:ascii="仿宋" w:hAnsi="仿宋" w:eastAsia="仿宋"/>
                <w:b/>
                <w:bCs w:val="0"/>
                <w:szCs w:val="21"/>
                <w:lang w:val="en-US" w:eastAsia="zh-CN"/>
              </w:rPr>
              <w:t>3</w:t>
            </w:r>
            <w:r>
              <w:rPr>
                <w:rFonts w:ascii="仿宋" w:hAnsi="仿宋" w:eastAsia="仿宋"/>
                <w:b/>
                <w:bCs w:val="0"/>
                <w:szCs w:val="21"/>
              </w:rPr>
              <w:t>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F=E×【0.</w:t>
            </w:r>
            <w:r>
              <w:rPr>
                <w:rFonts w:hint="eastAsia" w:ascii="仿宋" w:hAnsi="仿宋" w:eastAsia="仿宋"/>
                <w:b/>
                <w:bCs w:val="0"/>
                <w:szCs w:val="21"/>
                <w:lang w:val="en-US" w:eastAsia="zh-CN"/>
              </w:rPr>
              <w:t>3</w:t>
            </w:r>
            <w:r>
              <w:rPr>
                <w:rFonts w:ascii="仿宋" w:hAnsi="仿宋" w:eastAsia="仿宋"/>
                <w:b/>
                <w:bCs w:val="0"/>
                <w:szCs w:val="21"/>
              </w:rPr>
              <w:t>0</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F为固定管理费；E为计算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本理财产品</w:t>
            </w:r>
            <w:r>
              <w:rPr>
                <w:rFonts w:ascii="仿宋" w:hAnsi="仿宋" w:eastAsia="仿宋"/>
                <w:b/>
                <w:bCs w:val="0"/>
                <w:szCs w:val="21"/>
              </w:rPr>
              <w:t>不收取超额管理费。</w:t>
            </w:r>
          </w:p>
          <w:p>
            <w:pPr>
              <w:adjustRightInd w:val="0"/>
              <w:snapToGrid w:val="0"/>
              <w:spacing w:line="240" w:lineRule="atLeast"/>
              <w:ind w:firstLine="420"/>
              <w:rPr>
                <w:rFonts w:ascii="仿宋" w:hAnsi="仿宋" w:eastAsia="仿宋"/>
                <w:b/>
                <w:bCs w:val="0"/>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 xml:space="preserve">产品开放日后第 </w:t>
            </w:r>
            <w:r>
              <w:rPr>
                <w:rFonts w:ascii="仿宋" w:hAnsi="仿宋" w:eastAsia="仿宋"/>
                <w:bCs/>
                <w:szCs w:val="21"/>
                <w:u w:val="single"/>
              </w:rPr>
              <w:t>2</w:t>
            </w:r>
            <w:r>
              <w:rPr>
                <w:rFonts w:hint="eastAsia" w:ascii="仿宋" w:hAnsi="仿宋" w:eastAsia="仿宋"/>
                <w:bCs/>
                <w:szCs w:val="21"/>
              </w:rPr>
              <w:t xml:space="preserve"> 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公告产品开放日</w:t>
            </w:r>
            <w:r>
              <w:rPr>
                <w:rFonts w:ascii="仿宋" w:hAnsi="仿宋" w:eastAsia="仿宋"/>
                <w:bCs/>
                <w:szCs w:val="21"/>
              </w:rPr>
              <w:t>的</w:t>
            </w:r>
            <w:r>
              <w:rPr>
                <w:rFonts w:hint="eastAsia" w:ascii="仿宋" w:hAnsi="仿宋" w:eastAsia="仿宋"/>
                <w:bCs/>
                <w:szCs w:val="21"/>
              </w:rPr>
              <w:t>份额净值</w:t>
            </w:r>
            <w:r>
              <w:rPr>
                <w:rFonts w:ascii="仿宋" w:hAnsi="仿宋" w:eastAsia="仿宋"/>
                <w:bCs/>
                <w:szCs w:val="21"/>
              </w:rPr>
              <w:t>。</w:t>
            </w: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ascii="仿宋" w:hAnsi="仿宋" w:eastAsia="仿宋"/>
                <w:bCs/>
                <w:szCs w:val="21"/>
              </w:rPr>
              <w:t xml:space="preserve"> 2 </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摆动定价</w:t>
            </w:r>
          </w:p>
        </w:tc>
        <w:tc>
          <w:tcPr>
            <w:tcW w:w="74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当理财产品遭遇大额申购或赎回时，管理人可根据理财产品投资组合的市场冲击成本调整投资者申购或赎回时的产品份额净值，将调整投资组合的市场冲击成本分配给实际申购或赎回的投资者，从而减少对存量产品投资者利益的不利影响，确保投资者的合法权益不受损害并得到公平对待。</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具体操作规范遵循相关法律法规以及监管部门、自律规则的规定，并以届时管理人信息披露为准。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cs="宋体"/>
                <w:kern w:val="0"/>
                <w:szCs w:val="21"/>
              </w:rPr>
            </w:pPr>
            <w:r>
              <w:rPr>
                <w:rFonts w:ascii="仿宋" w:hAnsi="仿宋" w:eastAsia="仿宋" w:cs="宋体"/>
                <w:kern w:val="0"/>
                <w:szCs w:val="21"/>
              </w:rPr>
              <w:t>产品管理人可以在产品存续期根据投资情况选择分红或不分红，若分红，将以现金分红或红利再投资方式进行，默认为现金分红，具体以公告为准。本理财产品分红，将于分红日前3个工作日通过本产品说明书约定的信息披露渠道公布分红方案</w:t>
            </w:r>
            <w:r>
              <w:rPr>
                <w:rFonts w:hint="eastAsia" w:ascii="仿宋" w:hAnsi="仿宋" w:eastAsia="仿宋" w:cs="宋体"/>
                <w:kern w:val="0"/>
                <w:szCs w:val="21"/>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2" w:firstLineChars="200"/>
              <w:jc w:val="left"/>
              <w:rPr>
                <w:rFonts w:ascii="仿宋" w:hAnsi="仿宋" w:eastAsia="仿宋"/>
                <w:b/>
                <w:szCs w:val="21"/>
              </w:rPr>
            </w:pPr>
            <w:r>
              <w:rPr>
                <w:rFonts w:ascii="仿宋" w:hAnsi="仿宋" w:eastAsia="仿宋"/>
                <w:b/>
                <w:szCs w:val="21"/>
              </w:rPr>
              <w:t>一、投资者提前终止权</w:t>
            </w:r>
          </w:p>
          <w:p>
            <w:pPr>
              <w:autoSpaceDE w:val="0"/>
              <w:autoSpaceDN w:val="0"/>
              <w:adjustRightInd w:val="0"/>
              <w:snapToGrid w:val="0"/>
              <w:spacing w:line="240" w:lineRule="atLeast"/>
              <w:ind w:firstLine="422" w:firstLineChars="200"/>
              <w:jc w:val="left"/>
              <w:rPr>
                <w:rFonts w:ascii="仿宋" w:hAnsi="仿宋" w:eastAsia="仿宋"/>
                <w:bCs/>
                <w:szCs w:val="21"/>
              </w:rPr>
            </w:pPr>
            <w:r>
              <w:rPr>
                <w:rFonts w:hint="eastAsia" w:ascii="仿宋" w:hAnsi="仿宋" w:eastAsia="仿宋"/>
                <w:b/>
                <w:szCs w:val="21"/>
              </w:rPr>
              <w:t>华夏理财</w:t>
            </w:r>
            <w:r>
              <w:rPr>
                <w:rFonts w:ascii="仿宋" w:hAnsi="仿宋" w:eastAsia="仿宋"/>
                <w:b/>
                <w:szCs w:val="21"/>
              </w:rPr>
              <w:t>调整本理财产品的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通过本</w:t>
            </w:r>
            <w:r>
              <w:rPr>
                <w:rFonts w:hint="eastAsia" w:ascii="仿宋" w:hAnsi="仿宋" w:eastAsia="仿宋"/>
                <w:b/>
                <w:szCs w:val="21"/>
              </w:rPr>
              <w:t>产品</w:t>
            </w:r>
            <w:r>
              <w:rPr>
                <w:rFonts w:ascii="仿宋" w:hAnsi="仿宋" w:eastAsia="仿宋"/>
                <w:b/>
                <w:szCs w:val="21"/>
              </w:rPr>
              <w:t>说明书约定的信息披露渠道公告</w:t>
            </w:r>
            <w:r>
              <w:rPr>
                <w:rFonts w:hint="eastAsia" w:ascii="仿宋" w:hAnsi="仿宋" w:eastAsia="仿宋"/>
                <w:bCs/>
                <w:szCs w:val="21"/>
              </w:rPr>
              <w:t>。除本产品说明书另有约定，</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240" w:lineRule="atLeas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240" w:lineRule="atLeast"/>
              <w:ind w:firstLine="420" w:firstLineChars="200"/>
              <w:jc w:val="left"/>
              <w:rPr>
                <w:rFonts w:ascii="仿宋" w:hAnsi="仿宋" w:eastAsia="仿宋" w:cs="宋体"/>
                <w:bCs/>
                <w:szCs w:val="21"/>
              </w:rPr>
            </w:pPr>
            <w:r>
              <w:rPr>
                <w:rFonts w:hint="eastAsia" w:ascii="仿宋" w:hAnsi="仿宋" w:eastAsia="仿宋" w:cs="宋体"/>
                <w:bCs/>
                <w:szCs w:val="21"/>
              </w:rPr>
              <w:t>①</w:t>
            </w:r>
            <w:r>
              <w:rPr>
                <w:rFonts w:hint="eastAsia" w:ascii="仿宋" w:hAnsi="仿宋" w:eastAsia="仿宋"/>
                <w:bCs/>
                <w:szCs w:val="21"/>
              </w:rPr>
              <w:t xml:space="preserve">当本理财产品份额低于 </w:t>
            </w:r>
            <w:r>
              <w:rPr>
                <w:rFonts w:hint="eastAsia" w:ascii="仿宋" w:hAnsi="仿宋" w:eastAsia="仿宋"/>
                <w:bCs/>
                <w:szCs w:val="21"/>
                <w:u w:val="single"/>
              </w:rPr>
              <w:t>1</w:t>
            </w:r>
            <w:r>
              <w:rPr>
                <w:rFonts w:hint="eastAsia" w:ascii="仿宋" w:hAnsi="仿宋" w:eastAsia="仿宋"/>
                <w:bCs/>
                <w:szCs w:val="21"/>
                <w:u w:val="single"/>
                <w:lang w:val="en-US" w:eastAsia="zh-CN"/>
              </w:rPr>
              <w:t>,</w:t>
            </w:r>
            <w:r>
              <w:rPr>
                <w:rFonts w:hint="eastAsia" w:ascii="仿宋" w:hAnsi="仿宋" w:eastAsia="仿宋"/>
                <w:bCs/>
                <w:szCs w:val="21"/>
                <w:u w:val="single"/>
              </w:rPr>
              <w:t>000万</w:t>
            </w:r>
            <w:r>
              <w:rPr>
                <w:rFonts w:ascii="仿宋" w:hAnsi="仿宋" w:eastAsia="仿宋"/>
                <w:bCs/>
                <w:szCs w:val="21"/>
              </w:rPr>
              <w:t xml:space="preserve"> </w:t>
            </w:r>
            <w:r>
              <w:rPr>
                <w:rFonts w:hint="eastAsia" w:ascii="仿宋" w:hAnsi="仿宋" w:eastAsia="仿宋"/>
                <w:bCs/>
                <w:szCs w:val="21"/>
              </w:rPr>
              <w:t>份时；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③</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⑤</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w:t>
            </w:r>
            <w:r>
              <w:rPr>
                <w:rFonts w:ascii="仿宋" w:hAnsi="仿宋" w:eastAsia="仿宋"/>
                <w:bCs/>
                <w:szCs w:val="21"/>
              </w:rPr>
              <w:t>公告</w:t>
            </w:r>
            <w:r>
              <w:rPr>
                <w:rFonts w:hint="eastAsia" w:ascii="仿宋" w:hAnsi="仿宋" w:eastAsia="仿宋"/>
                <w:bCs/>
                <w:szCs w:val="21"/>
              </w:rPr>
              <w:t>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cs="宋体"/>
                <w:color w:val="000000"/>
                <w:kern w:val="0"/>
                <w:szCs w:val="21"/>
              </w:rPr>
            </w:pPr>
            <w:r>
              <w:rPr>
                <w:rFonts w:ascii="仿宋" w:hAnsi="仿宋" w:eastAsia="仿宋" w:cs="宋体"/>
                <w:color w:val="000000"/>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理财产品赎回申请/到期/终止日（不含）至资金到账日（不含）之间，投资者资金不计存款利息及理财收益。</w:t>
            </w:r>
          </w:p>
        </w:tc>
      </w:tr>
    </w:tbl>
    <w:p>
      <w:pPr>
        <w:pStyle w:val="22"/>
        <w:snapToGrid w:val="0"/>
        <w:spacing w:after="156" w:afterLines="50" w:line="400" w:lineRule="exact"/>
        <w:ind w:firstLine="482" w:firstLineChars="200"/>
        <w:jc w:val="both"/>
        <w:rPr>
          <w:rFonts w:ascii="Times New Roman" w:eastAsia="黑体" w:cs="Times New Roman"/>
          <w:b/>
          <w:color w:val="auto"/>
        </w:rPr>
      </w:pP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投资对象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本产品100%投资于固定收益类金融工具，包括货币市场</w:t>
      </w:r>
      <w:r>
        <w:rPr>
          <w:rFonts w:hint="eastAsia" w:ascii="仿宋" w:hAnsi="仿宋" w:eastAsia="仿宋" w:cs="宋体"/>
          <w:color w:val="000000"/>
          <w:kern w:val="0"/>
          <w:sz w:val="24"/>
          <w:lang w:val="en-US" w:eastAsia="zh-CN"/>
        </w:rPr>
        <w:t>工具</w:t>
      </w:r>
      <w:r>
        <w:rPr>
          <w:rFonts w:hint="eastAsia" w:ascii="仿宋" w:hAnsi="仿宋" w:eastAsia="仿宋" w:cs="宋体"/>
          <w:color w:val="000000"/>
          <w:kern w:val="0"/>
          <w:sz w:val="24"/>
        </w:rPr>
        <w:t>、标准化债权</w:t>
      </w:r>
      <w:r>
        <w:rPr>
          <w:rFonts w:hint="eastAsia" w:ascii="仿宋" w:hAnsi="仿宋" w:eastAsia="仿宋" w:cs="宋体"/>
          <w:color w:val="000000"/>
          <w:kern w:val="0"/>
          <w:sz w:val="24"/>
          <w:lang w:val="en-US" w:eastAsia="zh-CN"/>
        </w:rPr>
        <w:t>类资产</w:t>
      </w:r>
      <w:r>
        <w:rPr>
          <w:rFonts w:hint="eastAsia" w:ascii="仿宋" w:hAnsi="仿宋" w:eastAsia="仿宋" w:cs="宋体"/>
          <w:color w:val="000000"/>
          <w:kern w:val="0"/>
          <w:sz w:val="24"/>
        </w:rPr>
        <w:t>及其他符合监管要求的固定收益类金融工具。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本理财产品可以按照国务院金融管理部门相关规定开展回购业务，回购业务中可接受押品的资质要求与本说明书约定的投资范围保持一致。</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其中货币市场</w:t>
      </w:r>
      <w:r>
        <w:rPr>
          <w:rFonts w:hint="eastAsia" w:ascii="仿宋" w:hAnsi="仿宋" w:eastAsia="仿宋" w:cs="宋体"/>
          <w:color w:val="000000"/>
          <w:kern w:val="0"/>
          <w:sz w:val="24"/>
          <w:lang w:val="en-US" w:eastAsia="zh-CN"/>
        </w:rPr>
        <w:t>工具</w:t>
      </w:r>
      <w:r>
        <w:rPr>
          <w:rFonts w:hint="eastAsia" w:ascii="仿宋" w:hAnsi="仿宋" w:eastAsia="仿宋" w:cs="宋体"/>
          <w:color w:val="000000"/>
          <w:kern w:val="0"/>
          <w:sz w:val="24"/>
        </w:rPr>
        <w:t>包括但不限于银行存款、大额存单、同业存单（CD）、短期融资券、超短期融资券、剩余期限在397天以内（含397天）的债券、期限在一年以内（含一年）的债券回购、期限在一年以内（含一年）的中央银行票据以及</w:t>
      </w:r>
      <w:r>
        <w:rPr>
          <w:rFonts w:hint="eastAsia" w:ascii="仿宋" w:hAnsi="仿宋" w:eastAsia="仿宋" w:cs="宋体"/>
          <w:color w:val="000000"/>
          <w:kern w:val="0"/>
          <w:sz w:val="24"/>
          <w:lang w:val="en-US" w:eastAsia="zh-CN"/>
        </w:rPr>
        <w:t>监管机构</w:t>
      </w:r>
      <w:r>
        <w:rPr>
          <w:rFonts w:hint="eastAsia" w:ascii="仿宋" w:hAnsi="仿宋" w:eastAsia="仿宋" w:cs="宋体"/>
          <w:color w:val="000000"/>
          <w:kern w:val="0"/>
          <w:sz w:val="24"/>
        </w:rPr>
        <w:t>认可的其他具有良好流动性的金融工具；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标准化债权</w:t>
      </w:r>
      <w:r>
        <w:rPr>
          <w:rFonts w:hint="eastAsia" w:ascii="仿宋" w:hAnsi="仿宋" w:eastAsia="仿宋" w:cs="宋体"/>
          <w:color w:val="000000"/>
          <w:kern w:val="0"/>
          <w:sz w:val="24"/>
          <w:lang w:val="en-US" w:eastAsia="zh-CN"/>
        </w:rPr>
        <w:t>类</w:t>
      </w:r>
      <w:r>
        <w:rPr>
          <w:rFonts w:hint="eastAsia" w:ascii="仿宋" w:hAnsi="仿宋" w:eastAsia="仿宋" w:cs="宋体"/>
          <w:color w:val="000000"/>
          <w:kern w:val="0"/>
          <w:sz w:val="24"/>
        </w:rPr>
        <w:t>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各类资产投资比例如下：</w:t>
      </w:r>
    </w:p>
    <w:tbl>
      <w:tblPr>
        <w:tblStyle w:val="11"/>
        <w:tblW w:w="8063" w:type="dxa"/>
        <w:tblCellSpacing w:w="0" w:type="dxa"/>
        <w:tblInd w:w="0" w:type="dxa"/>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
      <w:tblGrid>
        <w:gridCol w:w="2884"/>
        <w:gridCol w:w="5179"/>
      </w:tblGrid>
      <w:tr>
        <w:tblPrEx>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47" w:hRule="atLeast"/>
          <w:tblCellSpacing w:w="0" w:type="dxa"/>
        </w:trPr>
        <w:tc>
          <w:tcPr>
            <w:tcW w:w="2884" w:type="dxa"/>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eastAsia="仿宋"/>
                <w:color w:val="000000"/>
                <w:kern w:val="0"/>
                <w:sz w:val="24"/>
              </w:rPr>
            </w:pPr>
            <w:r>
              <w:rPr>
                <w:rFonts w:hint="eastAsia" w:eastAsia="仿宋"/>
                <w:color w:val="000000"/>
                <w:kern w:val="0"/>
                <w:sz w:val="24"/>
              </w:rPr>
              <w:t>资产</w:t>
            </w:r>
            <w:r>
              <w:rPr>
                <w:rFonts w:eastAsia="仿宋"/>
                <w:color w:val="000000"/>
                <w:kern w:val="0"/>
                <w:sz w:val="24"/>
              </w:rPr>
              <w:t>类别</w:t>
            </w:r>
          </w:p>
        </w:tc>
        <w:tc>
          <w:tcPr>
            <w:tcW w:w="5179" w:type="dxa"/>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eastAsia="仿宋"/>
                <w:color w:val="000000"/>
                <w:kern w:val="0"/>
                <w:sz w:val="24"/>
              </w:rPr>
            </w:pPr>
            <w:r>
              <w:rPr>
                <w:rFonts w:eastAsia="仿宋"/>
                <w:color w:val="000000"/>
                <w:kern w:val="0"/>
                <w:sz w:val="24"/>
              </w:rPr>
              <w:t>投资比例</w:t>
            </w:r>
          </w:p>
        </w:tc>
      </w:tr>
      <w:tr>
        <w:tblPrEx>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47" w:hRule="atLeast"/>
          <w:tblCellSpacing w:w="0" w:type="dxa"/>
        </w:trPr>
        <w:tc>
          <w:tcPr>
            <w:tcW w:w="2884" w:type="dxa"/>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hint="eastAsia" w:eastAsia="仿宋"/>
                <w:color w:val="000000"/>
                <w:kern w:val="0"/>
                <w:sz w:val="24"/>
                <w:lang w:eastAsia="zh-CN"/>
              </w:rPr>
            </w:pPr>
            <w:r>
              <w:rPr>
                <w:rFonts w:hint="eastAsia" w:eastAsia="仿宋"/>
                <w:color w:val="000000"/>
                <w:kern w:val="0"/>
                <w:sz w:val="24"/>
              </w:rPr>
              <w:t>货币市场</w:t>
            </w:r>
            <w:r>
              <w:rPr>
                <w:rFonts w:hint="eastAsia" w:eastAsia="仿宋"/>
                <w:color w:val="000000"/>
                <w:kern w:val="0"/>
                <w:sz w:val="24"/>
                <w:lang w:val="en-US" w:eastAsia="zh-CN"/>
              </w:rPr>
              <w:t>工具</w:t>
            </w:r>
          </w:p>
        </w:tc>
        <w:tc>
          <w:tcPr>
            <w:tcW w:w="5179" w:type="dxa"/>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eastAsia="仿宋"/>
                <w:color w:val="000000"/>
                <w:kern w:val="0"/>
                <w:sz w:val="24"/>
              </w:rPr>
            </w:pPr>
            <w:r>
              <w:rPr>
                <w:rFonts w:eastAsia="仿宋"/>
                <w:color w:val="000000"/>
                <w:kern w:val="0"/>
                <w:sz w:val="24"/>
              </w:rPr>
              <w:t>0%-100%</w:t>
            </w:r>
          </w:p>
        </w:tc>
      </w:tr>
      <w:tr>
        <w:tblPrEx>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11" w:hRule="atLeast"/>
          <w:tblCellSpacing w:w="0" w:type="dxa"/>
        </w:trPr>
        <w:tc>
          <w:tcPr>
            <w:tcW w:w="2884" w:type="dxa"/>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eastAsia="仿宋"/>
                <w:color w:val="000000"/>
                <w:kern w:val="0"/>
                <w:sz w:val="24"/>
              </w:rPr>
            </w:pPr>
            <w:r>
              <w:rPr>
                <w:rFonts w:hint="eastAsia" w:ascii="仿宋" w:hAnsi="仿宋" w:eastAsia="仿宋" w:cs="宋体"/>
                <w:color w:val="000000"/>
                <w:kern w:val="0"/>
                <w:sz w:val="24"/>
              </w:rPr>
              <w:t>标准化债权</w:t>
            </w:r>
            <w:r>
              <w:rPr>
                <w:rFonts w:hint="eastAsia" w:ascii="仿宋" w:hAnsi="仿宋" w:eastAsia="仿宋" w:cs="宋体"/>
                <w:color w:val="000000"/>
                <w:kern w:val="0"/>
                <w:sz w:val="24"/>
                <w:lang w:val="en-US" w:eastAsia="zh-CN"/>
              </w:rPr>
              <w:t>类</w:t>
            </w:r>
            <w:r>
              <w:rPr>
                <w:rFonts w:hint="eastAsia" w:ascii="仿宋" w:hAnsi="仿宋" w:eastAsia="仿宋" w:cs="宋体"/>
                <w:color w:val="000000"/>
                <w:kern w:val="0"/>
                <w:sz w:val="24"/>
              </w:rPr>
              <w:t>资产</w:t>
            </w:r>
          </w:p>
        </w:tc>
        <w:tc>
          <w:tcPr>
            <w:tcW w:w="5179" w:type="dxa"/>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eastAsia="仿宋"/>
                <w:color w:val="000000"/>
                <w:kern w:val="0"/>
                <w:sz w:val="24"/>
              </w:rPr>
            </w:pPr>
            <w:r>
              <w:rPr>
                <w:rFonts w:eastAsia="仿宋"/>
                <w:color w:val="000000"/>
                <w:kern w:val="0"/>
                <w:sz w:val="24"/>
              </w:rPr>
              <w:t>0%-100%</w:t>
            </w:r>
          </w:p>
        </w:tc>
      </w:tr>
    </w:tbl>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本理财产品可以按照监管部门相关规定开展回购业务。</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理财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p>
    <w:p>
      <w:pPr>
        <w:widowControl/>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bCs/>
          <w:color w:val="000000"/>
          <w:kern w:val="0"/>
          <w:sz w:val="24"/>
        </w:rPr>
        <w:t>如资产类别及投资比例发生调整，管理人将于调整事项生效前</w:t>
      </w:r>
      <w:r>
        <w:rPr>
          <w:rFonts w:ascii="仿宋" w:hAnsi="仿宋" w:eastAsia="仿宋" w:cs="宋体"/>
          <w:b/>
          <w:bCs/>
          <w:color w:val="000000"/>
          <w:kern w:val="0"/>
          <w:sz w:val="24"/>
        </w:rPr>
        <w:t>3</w:t>
      </w:r>
      <w:r>
        <w:rPr>
          <w:rFonts w:hint="eastAsia" w:ascii="仿宋" w:hAnsi="仿宋" w:eastAsia="仿宋" w:cs="宋体"/>
          <w:b/>
          <w:bCs/>
          <w:color w:val="000000"/>
          <w:kern w:val="0"/>
          <w:sz w:val="24"/>
        </w:rPr>
        <w:t>个工作日通过</w:t>
      </w:r>
      <w:r>
        <w:rPr>
          <w:rFonts w:hint="eastAsia" w:ascii="仿宋" w:hAnsi="仿宋" w:eastAsia="仿宋" w:cs="仿宋"/>
          <w:b/>
          <w:bCs/>
          <w:color w:val="000000"/>
          <w:kern w:val="0"/>
          <w:sz w:val="24"/>
        </w:rPr>
        <w:t>本产品说明书约定的信息披露渠道</w:t>
      </w:r>
      <w:r>
        <w:rPr>
          <w:rFonts w:hint="eastAsia" w:ascii="仿宋" w:hAnsi="仿宋" w:eastAsia="仿宋" w:cs="宋体"/>
          <w:b/>
          <w:bCs/>
          <w:color w:val="000000"/>
          <w:kern w:val="0"/>
          <w:sz w:val="24"/>
        </w:rPr>
        <w:t>予以公告</w:t>
      </w:r>
      <w:r>
        <w:rPr>
          <w:rFonts w:hint="eastAsia" w:ascii="仿宋" w:hAnsi="仿宋" w:eastAsia="仿宋" w:cs="宋体"/>
          <w:color w:val="000000"/>
          <w:kern w:val="0"/>
          <w:sz w:val="24"/>
        </w:rPr>
        <w:t>。若本理财产品的投资人不接受上述调整，则应在公告规定时间内提前赎回本理财产品；</w:t>
      </w:r>
      <w:r>
        <w:rPr>
          <w:rFonts w:hint="eastAsia" w:ascii="仿宋" w:hAnsi="仿宋" w:eastAsia="仿宋" w:cs="宋体"/>
          <w:b/>
          <w:color w:val="000000"/>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非因管理人主观因素导致本理财产品突破上述投资比例限制的，管理人应当在所投资的</w:t>
      </w:r>
      <w:r>
        <w:rPr>
          <w:rFonts w:hint="eastAsia" w:ascii="仿宋" w:hAnsi="仿宋" w:eastAsia="仿宋"/>
          <w:sz w:val="24"/>
        </w:rPr>
        <w:t>流动性受限资产可出售、可转让或者恢复交易的15</w:t>
      </w:r>
      <w:r>
        <w:rPr>
          <w:rFonts w:hint="eastAsia" w:ascii="仿宋" w:hAnsi="仿宋" w:eastAsia="仿宋" w:cs="宋体"/>
          <w:color w:val="000000"/>
          <w:kern w:val="0"/>
          <w:sz w:val="24"/>
        </w:rPr>
        <w:t>个工作日内将本理财产品所投资资产调整至上述投资比例范围内，监管规定的特殊情形除外。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三</w:t>
      </w:r>
      <w:r>
        <w:rPr>
          <w:rFonts w:ascii="Times New Roman" w:eastAsia="黑体" w:cs="Times New Roman"/>
          <w:b/>
          <w:color w:val="auto"/>
        </w:rPr>
        <w:t>、</w:t>
      </w:r>
      <w:r>
        <w:rPr>
          <w:rFonts w:hint="eastAsia" w:ascii="Times New Roman" w:eastAsia="黑体" w:cs="Times New Roman"/>
          <w:b/>
          <w:color w:val="auto"/>
        </w:rPr>
        <w:t>理财产品管理人和托管</w:t>
      </w:r>
      <w:r>
        <w:rPr>
          <w:rFonts w:ascii="Times New Roman" w:eastAsia="黑体" w:cs="Times New Roman"/>
          <w:b/>
          <w:color w:val="auto"/>
        </w:rPr>
        <w:t>人</w:t>
      </w:r>
    </w:p>
    <w:p>
      <w:pPr>
        <w:pStyle w:val="22"/>
        <w:snapToGrid w:val="0"/>
        <w:spacing w:after="156" w:afterLines="50" w:line="400" w:lineRule="exact"/>
        <w:ind w:firstLine="480" w:firstLineChars="200"/>
        <w:jc w:val="both"/>
        <w:rPr>
          <w:rFonts w:ascii="仿宋" w:hAnsi="仿宋" w:eastAsia="仿宋"/>
        </w:rPr>
      </w:pPr>
      <w:r>
        <w:rPr>
          <w:rFonts w:hint="eastAsia" w:ascii="仿宋" w:hAnsi="仿宋" w:eastAsia="仿宋"/>
        </w:rPr>
        <w:t>（一）</w:t>
      </w:r>
      <w:r>
        <w:rPr>
          <w:rFonts w:ascii="仿宋" w:hAnsi="仿宋" w:eastAsia="仿宋"/>
        </w:rPr>
        <w:t>本</w:t>
      </w:r>
      <w:r>
        <w:rPr>
          <w:rFonts w:hint="eastAsia" w:ascii="仿宋" w:hAnsi="仿宋" w:eastAsia="仿宋"/>
        </w:rPr>
        <w:t>理财</w:t>
      </w:r>
      <w:r>
        <w:rPr>
          <w:rFonts w:ascii="仿宋" w:hAnsi="仿宋" w:eastAsia="仿宋"/>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（二）</w:t>
      </w:r>
      <w:r>
        <w:rPr>
          <w:rFonts w:ascii="仿宋" w:hAnsi="仿宋" w:eastAsia="仿宋" w:cs="宋体"/>
          <w:color w:val="000000"/>
          <w:kern w:val="0"/>
          <w:sz w:val="24"/>
        </w:rPr>
        <w:t>本理财</w:t>
      </w:r>
      <w:r>
        <w:rPr>
          <w:rFonts w:hint="eastAsia" w:ascii="仿宋" w:hAnsi="仿宋" w:eastAsia="仿宋" w:cs="宋体"/>
          <w:color w:val="000000"/>
          <w:kern w:val="0"/>
          <w:sz w:val="24"/>
        </w:rPr>
        <w:t>产品托管人为</w:t>
      </w:r>
      <w:r>
        <w:rPr>
          <w:rFonts w:hint="eastAsia" w:ascii="仿宋" w:hAnsi="仿宋" w:eastAsia="仿宋" w:cs="宋体"/>
          <w:color w:val="000000"/>
          <w:kern w:val="0"/>
          <w:sz w:val="24"/>
          <w:lang w:val="en-US" w:eastAsia="zh-CN"/>
        </w:rPr>
        <w:t>华夏银行股份有限公司</w:t>
      </w:r>
      <w:r>
        <w:rPr>
          <w:rFonts w:hint="eastAsia"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1.基本信息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w:t>
      </w:r>
      <w:r>
        <w:rPr>
          <w:rFonts w:hint="eastAsia" w:ascii="仿宋" w:hAnsi="仿宋" w:eastAsia="仿宋" w:cs="宋体"/>
          <w:color w:val="000000"/>
          <w:kern w:val="0"/>
          <w:sz w:val="24"/>
          <w:lang w:val="en-US" w:eastAsia="zh-CN"/>
        </w:rPr>
        <w:t>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2.主要职责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w:t>
      </w:r>
      <w:bookmarkStart w:id="0" w:name="_Hlk76384476"/>
      <w:r>
        <w:rPr>
          <w:rFonts w:hint="eastAsia" w:ascii="仿宋" w:hAnsi="仿宋" w:eastAsia="仿宋" w:cs="宋体"/>
          <w:color w:val="000000"/>
          <w:kern w:val="0"/>
          <w:sz w:val="24"/>
        </w:rPr>
        <w:t>管理人</w:t>
      </w:r>
      <w:bookmarkEnd w:id="0"/>
      <w:r>
        <w:rPr>
          <w:rFonts w:hint="eastAsia" w:ascii="仿宋" w:hAnsi="仿宋" w:eastAsia="仿宋" w:cs="宋体"/>
          <w:color w:val="000000"/>
          <w:kern w:val="0"/>
          <w:sz w:val="24"/>
        </w:rPr>
        <w:t>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eastAsia="黑体"/>
          <w:b/>
        </w:rPr>
      </w:pPr>
      <w:r>
        <w:rPr>
          <w:rFonts w:hint="eastAsia" w:ascii="仿宋" w:hAnsi="仿宋" w:eastAsia="仿宋" w:cs="宋体"/>
          <w:color w:val="000000"/>
          <w:kern w:val="0"/>
          <w:sz w:val="24"/>
        </w:rPr>
        <w:t>（9）银行业监督管理机构规定的其他职责。</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＝理财产品</w:t>
      </w:r>
      <w:r>
        <w:rPr>
          <w:rFonts w:hint="eastAsia" w:ascii="仿宋" w:hAnsi="仿宋" w:eastAsia="仿宋" w:cs="宋体"/>
          <w:color w:val="000000"/>
          <w:kern w:val="0"/>
          <w:sz w:val="24"/>
        </w:rPr>
        <w:t>资产</w:t>
      </w:r>
      <w:r>
        <w:rPr>
          <w:rFonts w:ascii="仿宋" w:hAnsi="仿宋" w:eastAsia="仿宋" w:cs="宋体"/>
          <w:color w:val="000000"/>
          <w:kern w:val="0"/>
          <w:sz w:val="24"/>
        </w:rPr>
        <w:t>净值/理财产品份额</w:t>
      </w:r>
      <w:r>
        <w:rPr>
          <w:rFonts w:hint="eastAsia" w:ascii="仿宋" w:hAnsi="仿宋" w:eastAsia="仿宋" w:cs="宋体"/>
          <w:color w:val="000000"/>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为提取相关费用后的</w:t>
      </w:r>
      <w:r>
        <w:rPr>
          <w:rFonts w:hint="eastAsia" w:ascii="仿宋" w:hAnsi="仿宋" w:eastAsia="仿宋" w:cs="宋体"/>
          <w:color w:val="000000"/>
          <w:kern w:val="0"/>
          <w:sz w:val="24"/>
        </w:rPr>
        <w:t>份额净值</w:t>
      </w:r>
      <w:r>
        <w:rPr>
          <w:rFonts w:ascii="仿宋" w:hAnsi="仿宋" w:eastAsia="仿宋" w:cs="宋体"/>
          <w:color w:val="000000"/>
          <w:kern w:val="0"/>
          <w:sz w:val="24"/>
        </w:rPr>
        <w:t>，投资者按</w:t>
      </w:r>
      <w:r>
        <w:rPr>
          <w:rFonts w:hint="eastAsia" w:ascii="仿宋" w:hAnsi="仿宋" w:eastAsia="仿宋" w:cs="宋体"/>
          <w:color w:val="000000"/>
          <w:kern w:val="0"/>
          <w:sz w:val="24"/>
        </w:rPr>
        <w:t>该份额净值</w:t>
      </w:r>
      <w:r>
        <w:rPr>
          <w:rFonts w:ascii="仿宋" w:hAnsi="仿宋" w:eastAsia="仿宋" w:cs="宋体"/>
          <w:color w:val="000000"/>
          <w:kern w:val="0"/>
          <w:sz w:val="24"/>
        </w:rPr>
        <w:t>申购、赎回和</w:t>
      </w:r>
      <w:r>
        <w:rPr>
          <w:rFonts w:hint="eastAsia" w:ascii="仿宋" w:hAnsi="仿宋" w:eastAsia="仿宋" w:cs="宋体"/>
          <w:color w:val="000000"/>
          <w:kern w:val="0"/>
          <w:sz w:val="24"/>
        </w:rPr>
        <w:t>到期/</w:t>
      </w:r>
      <w:r>
        <w:rPr>
          <w:rFonts w:ascii="仿宋" w:hAnsi="仿宋" w:eastAsia="仿宋" w:cs="宋体"/>
          <w:color w:val="000000"/>
          <w:kern w:val="0"/>
          <w:sz w:val="24"/>
        </w:rPr>
        <w:t>终止。</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r>
        <w:rPr>
          <w:rFonts w:hint="eastAsia" w:ascii="Times New Roman" w:eastAsia="黑体" w:cs="Times New Roman"/>
          <w:b/>
          <w:color w:val="auto"/>
        </w:rPr>
        <w:t>、申购、赎回</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（一）认购、申购、赎回交易渠道和规定</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华夏银行柜台</w:t>
      </w:r>
      <w:r>
        <w:rPr>
          <w:rFonts w:hint="eastAsia" w:ascii="仿宋" w:hAnsi="仿宋" w:eastAsia="仿宋"/>
          <w:sz w:val="24"/>
        </w:rPr>
        <w:t>、手机银行、网上银行等</w:t>
      </w:r>
      <w:r>
        <w:rPr>
          <w:rFonts w:ascii="仿宋" w:hAnsi="仿宋" w:eastAsia="仿宋"/>
          <w:sz w:val="24"/>
        </w:rPr>
        <w:t>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；通过代销机构购买的，认购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hint="eastAsia" w:ascii="仿宋" w:hAnsi="仿宋" w:eastAsia="仿宋" w:cs="宋体"/>
          <w:kern w:val="0"/>
          <w:sz w:val="24"/>
        </w:rPr>
        <w:t>渠道以代销机构规定为准</w:t>
      </w:r>
      <w:r>
        <w:rPr>
          <w:rFonts w:ascii="仿宋" w:hAnsi="仿宋" w:eastAsia="仿宋" w:cs="宋体"/>
          <w:kern w:val="0"/>
          <w:sz w:val="24"/>
        </w:rPr>
        <w:t>。</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ascii="仿宋" w:hAnsi="仿宋" w:eastAsia="仿宋" w:cs="宋体"/>
          <w:b/>
          <w:bCs/>
          <w:color w:val="000000"/>
          <w:kern w:val="0"/>
          <w:sz w:val="24"/>
        </w:rPr>
        <w:t>2</w:t>
      </w:r>
      <w:r>
        <w:rPr>
          <w:rFonts w:hint="eastAsia" w:ascii="仿宋" w:hAnsi="仿宋" w:eastAsia="仿宋" w:cs="宋体"/>
          <w:b/>
          <w:bCs/>
          <w:color w:val="000000"/>
          <w:kern w:val="0"/>
          <w:sz w:val="24"/>
        </w:rPr>
        <w:t>．</w:t>
      </w:r>
      <w:r>
        <w:rPr>
          <w:rFonts w:hint="eastAsia" w:ascii="仿宋" w:hAnsi="仿宋" w:eastAsia="仿宋" w:cs="宋体"/>
          <w:b/>
          <w:bCs/>
          <w:kern w:val="0"/>
          <w:sz w:val="24"/>
        </w:rPr>
        <w:t>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产品单一投资者持有</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份额数不得超过</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份额总数的 50%。非因</w:t>
      </w:r>
      <w:r>
        <w:rPr>
          <w:rFonts w:ascii="仿宋" w:hAnsi="仿宋" w:eastAsia="仿宋" w:cs="宋体"/>
          <w:b/>
          <w:bCs/>
          <w:kern w:val="0"/>
          <w:sz w:val="24"/>
        </w:rPr>
        <w:t>管理人</w:t>
      </w:r>
      <w:r>
        <w:rPr>
          <w:rFonts w:hint="eastAsia" w:ascii="仿宋" w:hAnsi="仿宋" w:eastAsia="仿宋" w:cs="宋体"/>
          <w:b/>
          <w:bCs/>
          <w:kern w:val="0"/>
          <w:sz w:val="24"/>
        </w:rPr>
        <w:t>主观因素导致突破前款规定比例限制的，在单一投资者持有比例降至50%以下之前，</w:t>
      </w:r>
      <w:r>
        <w:rPr>
          <w:rFonts w:ascii="仿宋" w:hAnsi="仿宋" w:eastAsia="仿宋" w:cs="宋体"/>
          <w:b/>
          <w:bCs/>
          <w:kern w:val="0"/>
          <w:sz w:val="24"/>
        </w:rPr>
        <w:t>管理人将</w:t>
      </w:r>
      <w:r>
        <w:rPr>
          <w:rFonts w:hint="eastAsia" w:ascii="仿宋" w:hAnsi="仿宋" w:eastAsia="仿宋" w:cs="宋体"/>
          <w:b/>
          <w:bCs/>
          <w:kern w:val="0"/>
          <w:sz w:val="24"/>
        </w:rPr>
        <w:t>不再接受该单一投资者对本理财产品的认、</w:t>
      </w:r>
      <w:r>
        <w:rPr>
          <w:rFonts w:ascii="仿宋" w:hAnsi="仿宋" w:eastAsia="仿宋" w:cs="宋体"/>
          <w:b/>
          <w:bCs/>
          <w:kern w:val="0"/>
          <w:sz w:val="24"/>
        </w:rPr>
        <w:t>申</w:t>
      </w:r>
      <w:r>
        <w:rPr>
          <w:rFonts w:hint="eastAsia" w:ascii="仿宋" w:hAnsi="仿宋" w:eastAsia="仿宋" w:cs="宋体"/>
          <w:b/>
          <w:bCs/>
          <w:kern w:val="0"/>
          <w:sz w:val="24"/>
        </w:rPr>
        <w:t>购申请。</w:t>
      </w:r>
    </w:p>
    <w:p>
      <w:pPr>
        <w:widowControl/>
        <w:adjustRightInd w:val="0"/>
        <w:snapToGrid w:val="0"/>
        <w:spacing w:line="276" w:lineRule="auto"/>
        <w:ind w:firstLine="480" w:firstLineChars="200"/>
        <w:contextualSpacing/>
        <w:rPr>
          <w:rFonts w:ascii="微软简仿宋" w:hAnsi="微软简仿宋" w:eastAsia="微软简仿宋"/>
          <w:bCs/>
          <w:szCs w:val="21"/>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（二）拒绝或暂停</w:t>
      </w:r>
      <w:r>
        <w:rPr>
          <w:rFonts w:hint="eastAsia" w:ascii="仿宋" w:hAnsi="仿宋" w:eastAsia="仿宋" w:cs="宋体"/>
          <w:color w:val="000000"/>
          <w:kern w:val="0"/>
          <w:sz w:val="24"/>
        </w:rPr>
        <w:t>认（申）</w:t>
      </w:r>
      <w:r>
        <w:rPr>
          <w:rFonts w:hint="eastAsia" w:ascii="仿宋" w:hAnsi="仿宋" w:eastAsia="仿宋" w:cs="宋体"/>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采取认（申）购风险应对措施，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认（申）</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3．接受认（申）购申请可能对存量投资者利益构成重大不利影响。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4．认购/申购日理财产品实时余额已达到规模上限。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6．认（申）购申请超过说明书约定的单一投资者认（申）购金额上限、或超过理财产品单日净认（申）购比例上限。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．接受认（申）购申请有可能导致单一投资者持有份额的比例超过产品</w:t>
      </w:r>
      <w:r>
        <w:rPr>
          <w:rFonts w:hint="eastAsia" w:ascii="仿宋" w:hAnsi="仿宋" w:eastAsia="仿宋" w:cs="宋体"/>
          <w:kern w:val="0"/>
          <w:sz w:val="24"/>
        </w:rPr>
        <w:t>份额总数的</w:t>
      </w:r>
      <w:r>
        <w:rPr>
          <w:rFonts w:hint="eastAsia" w:ascii="仿宋" w:hAnsi="仿宋" w:eastAsia="仿宋" w:cs="宋体"/>
          <w:color w:val="000000"/>
          <w:kern w:val="0"/>
          <w:sz w:val="24"/>
        </w:rPr>
        <w:t>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8</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如果投资人的认（申）购申请被全部或部分拒绝的，被拒绝的认（申）购款项将退还给投资人。在暂停认（申）购的情况消除时，</w:t>
      </w:r>
      <w:r>
        <w:rPr>
          <w:rFonts w:ascii="仿宋" w:hAnsi="仿宋" w:eastAsia="仿宋" w:cs="宋体"/>
          <w:kern w:val="0"/>
          <w:sz w:val="24"/>
        </w:rPr>
        <w:t>管理人</w:t>
      </w:r>
      <w:r>
        <w:rPr>
          <w:rFonts w:hint="eastAsia" w:ascii="仿宋" w:hAnsi="仿宋" w:eastAsia="仿宋" w:cs="宋体"/>
          <w:color w:val="000000"/>
          <w:kern w:val="0"/>
          <w:sz w:val="24"/>
        </w:rPr>
        <w:t>将及时恢复办理业务。</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（三）暂停赎回或延缓支付赎回款项的情形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在发生下列情形之一时，</w:t>
      </w:r>
      <w:r>
        <w:rPr>
          <w:rFonts w:ascii="仿宋" w:hAnsi="仿宋" w:eastAsia="仿宋" w:cs="宋体"/>
          <w:b/>
          <w:bCs/>
          <w:kern w:val="0"/>
          <w:sz w:val="24"/>
        </w:rPr>
        <w:t>管理人</w:t>
      </w:r>
      <w:r>
        <w:rPr>
          <w:rFonts w:hint="eastAsia" w:ascii="仿宋" w:hAnsi="仿宋" w:eastAsia="仿宋" w:cs="宋体"/>
          <w:b/>
          <w:bCs/>
          <w:kern w:val="0"/>
          <w:sz w:val="24"/>
        </w:rPr>
        <w:t>可以采取</w:t>
      </w:r>
      <w:r>
        <w:rPr>
          <w:rFonts w:hint="eastAsia" w:ascii="仿宋" w:hAnsi="仿宋" w:eastAsia="仿宋" w:cs="宋体"/>
          <w:b/>
          <w:bCs/>
          <w:color w:val="000000"/>
          <w:kern w:val="0"/>
          <w:sz w:val="24"/>
        </w:rPr>
        <w:t>赎回流动性风险应对措施，包括</w:t>
      </w:r>
      <w:r>
        <w:rPr>
          <w:rFonts w:ascii="仿宋" w:hAnsi="仿宋" w:eastAsia="仿宋" w:cs="宋体"/>
          <w:b/>
          <w:bCs/>
          <w:color w:val="000000"/>
          <w:kern w:val="0"/>
          <w:sz w:val="24"/>
        </w:rPr>
        <w:t>但不限于</w:t>
      </w:r>
      <w:r>
        <w:rPr>
          <w:rFonts w:hint="eastAsia" w:ascii="仿宋" w:hAnsi="仿宋" w:eastAsia="仿宋" w:cs="宋体"/>
          <w:b/>
          <w:bCs/>
          <w:color w:val="000000"/>
          <w:kern w:val="0"/>
          <w:sz w:val="24"/>
        </w:rPr>
        <w:t>延期办理巨额赎回申请、暂停接受赎回申请、延缓支付赎回款项等：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w:t>
      </w:r>
      <w:r>
        <w:rPr>
          <w:rFonts w:ascii="仿宋" w:hAnsi="仿宋" w:eastAsia="仿宋" w:cs="宋体"/>
          <w:kern w:val="0"/>
          <w:sz w:val="24"/>
        </w:rPr>
        <w:t>管理人</w:t>
      </w:r>
      <w:r>
        <w:rPr>
          <w:rFonts w:hint="eastAsia" w:ascii="仿宋" w:hAnsi="仿宋" w:eastAsia="仿宋" w:cs="宋体"/>
          <w:color w:val="000000"/>
          <w:kern w:val="0"/>
          <w:sz w:val="24"/>
        </w:rPr>
        <w:t>不能支付赎回款项。</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．连续2个以上开放日发生巨额赎回。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bCs/>
          <w:color w:val="000000"/>
          <w:sz w:val="24"/>
        </w:rPr>
        <w:t>5.单个投资者在单个开放日的赎回超过说明书约定的赎回比例</w:t>
      </w:r>
      <w:r>
        <w:rPr>
          <w:rFonts w:ascii="仿宋" w:hAnsi="仿宋" w:eastAsia="仿宋"/>
          <w:bCs/>
          <w:color w:val="000000"/>
          <w:sz w:val="24"/>
        </w:rPr>
        <w:t>上限</w:t>
      </w:r>
      <w:r>
        <w:rPr>
          <w:rFonts w:hint="eastAsia" w:ascii="仿宋" w:hAnsi="仿宋" w:eastAsia="仿宋"/>
          <w:bCs/>
          <w:color w:val="00000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6．继续接受赎回申请可能对存量理财投资者利益构成潜在重大不利影响。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7．法律法规规定或监管机构认定的其他情形。</w:t>
      </w:r>
    </w:p>
    <w:p>
      <w:pPr>
        <w:pStyle w:val="22"/>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在暂停赎回的情形消除时，</w:t>
      </w:r>
      <w:r>
        <w:rPr>
          <w:rFonts w:ascii="仿宋" w:hAnsi="仿宋" w:eastAsia="仿宋"/>
        </w:rPr>
        <w:t>管理人</w:t>
      </w:r>
      <w:r>
        <w:rPr>
          <w:rFonts w:hint="eastAsia" w:ascii="仿宋" w:hAnsi="仿宋" w:eastAsia="仿宋"/>
        </w:rPr>
        <w:t>将及时恢复办理赎回业务并公告。</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例1：假设客户持有的本理财产品份额为200,000份，在开放日赎回100,000份，则：若产品开放日份额净值为1.1800，则客户获得的赎回金额为：100,000*1.1800=118,000.00元。</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若产品开放日份额净值为0.9980，则客户获得赎回金额为：100,000*0.9980=99,800.00元。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宋体"/>
          <w:color w:val="000000"/>
          <w:kern w:val="0"/>
          <w:sz w:val="24"/>
        </w:rPr>
        <w:t>例2：客户在本理财产品的开放日申请购买了100,000元的本理财产品，如购买当日产品的份额净值为1.0110，则该笔购买申请确认后，该笔购买申请对应的理财产品份额为：100,000/1.0110=98,911.9</w:t>
      </w:r>
      <w:r>
        <w:rPr>
          <w:rFonts w:ascii="仿宋" w:hAnsi="仿宋" w:eastAsia="仿宋" w:cs="宋体"/>
          <w:color w:val="000000"/>
          <w:kern w:val="0"/>
          <w:sz w:val="24"/>
        </w:rPr>
        <w:t>7</w:t>
      </w:r>
      <w:r>
        <w:rPr>
          <w:rFonts w:hint="eastAsia" w:ascii="仿宋" w:hAnsi="仿宋" w:eastAsia="仿宋" w:cs="宋体"/>
          <w:color w:val="000000"/>
          <w:kern w:val="0"/>
          <w:sz w:val="24"/>
        </w:rPr>
        <w:t>份。</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color w:val="000000"/>
          <w:sz w:val="24"/>
        </w:rPr>
      </w:pPr>
      <w:r>
        <w:rPr>
          <w:rFonts w:hint="eastAsia" w:eastAsia="黑体"/>
          <w:b/>
          <w:color w:val="000000"/>
          <w:sz w:val="24"/>
        </w:rPr>
        <w:t>最不利的投资情形：如果本理财产品投资组合内所配置资产发生损失，则投资者可能无法获得理财产品投资收益，甚至损失全部理财本金，投资者应在对此风险有充分认识基础上谨慎投资。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color w:val="000000"/>
          <w:sz w:val="24"/>
        </w:rPr>
        <w:t>本产品说明书中的任何业绩比较基准、收益示例或类似表述均不具有法律约束力，不代表投资者可能获得的实际收益，亦不构成华夏理财/代销机构对本理财产品的任何收益承诺。</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（一）估值对象</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本理财产品所投资的货币市场工具、标准化债权类资产以及资产管理产品等资产。</w:t>
      </w:r>
    </w:p>
    <w:p>
      <w:pPr>
        <w:pStyle w:val="22"/>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22"/>
        <w:snapToGrid w:val="0"/>
        <w:spacing w:line="276" w:lineRule="auto"/>
        <w:ind w:firstLine="480" w:firstLineChars="200"/>
        <w:contextualSpacing/>
        <w:rPr>
          <w:rFonts w:ascii="仿宋" w:hAnsi="仿宋" w:eastAsia="仿宋"/>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（三）估值方法</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 证券交易所上市的有价证券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在交易所市场上市的含有转股权的债券（如可转换债券、可交换债券等）等，选取每日收盘价减去所含的应收利息得到的净价进行估值。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 处于未上市期间的有价证券应区分如下情况处理：</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（1）送股、转增股、配股和公开增发的新股，按估值日在证券交易所挂牌的同一股票的市价（收盘价）估值；该日无交易的，以最近一日的市价（收盘价）估值；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（2）首次公开发行未上市的股票、债券和权证，采用估值技术确定公允价值，在估值技术难以可靠计量公允价值的情况下，采用管理人和托管人共同认可的第三方机构提供的估值，或双方共同认可的估值；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（3）优先股采用估值技术确认公允价值，在估值技术难以可靠计量公允价值的情况下，采用管理人和托管人共同认可的第三方机构提供的估值，或双方共同认可的估值；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 同一债券同时在两个或两个以上市场交易的，按债券所处的市场分别估值。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 证券投资基金的估值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（1）场外申赎的开放式非货币基金以估值日可获取的基金管理人公布的最新基金份额净值估值；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（2）上市流通的证券投资基金（包括场内买入的ETF、封闭式基金、上市定期开放式基金）按估值日其所在证券交易所的收盘价估值；估值日无交易的，以最近一个交易日的收盘价估值；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（3）货币基金以估值日可获取的基金管理人公布的最新万份收益计提红利。</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 期货以估值日期货交易所的当日结算价估值，估值当日无结算价的，且最近交易日后经济环境未发生重大变化的，采用最近交易日结算价估值。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 汇率估值方法</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10. 场内期权以估值日交易所的结算价估值，该日无交易的，以最近一日的结算价为准。</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11. 非标准化债权类资产采用估值技术确认公允价值，在估值技术难以可靠计量公允价值的情况下，按照管理人和托管人共同认可的估值。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12.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13. 本系列产品所投资的资产管理产品以估值日公布的产品单位净值进行估值，估值日产品单位净值未公布的，以最近一个工作日产品单位净值计算。</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14. 相关法律法规以及监管部门有强制规定的，从其规定。如有新增事项或变更事项，依法按最新规定计算。没有相关规定的，由产品管理人与托管人协商确定计算方法。</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22"/>
        <w:snapToGrid w:val="0"/>
        <w:spacing w:line="276" w:lineRule="auto"/>
        <w:ind w:firstLine="482" w:firstLineChars="200"/>
        <w:contextualSpacing/>
        <w:rPr>
          <w:rFonts w:ascii="仿宋" w:hAnsi="仿宋" w:eastAsia="仿宋"/>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22"/>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3．占前一估值日资产净值50%以上的资产不具备活跃交易市场或者在活跃市场中无报价且采用估值技术仍导致公允价值存在重大不确定性时，管理人为保障投资者的利益，经与托管人协商一致，理财产品应当暂停估值。</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4．监管机构认定或管理人、托管人有合理理由认为将影响本理财产品估值的其它情形。</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22"/>
        <w:snapToGrid w:val="0"/>
        <w:spacing w:line="276" w:lineRule="auto"/>
        <w:ind w:firstLine="480" w:firstLineChars="200"/>
        <w:contextualSpacing/>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份额净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rPr>
        <w:t>当估值出现错误时，因估值错误而获得不当得利的投资者负有及时返还不当得利的义务。</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22"/>
        <w:snapToGrid w:val="0"/>
        <w:spacing w:line="276" w:lineRule="auto"/>
        <w:ind w:firstLine="480" w:firstLineChars="200"/>
        <w:contextualSpacing/>
        <w:jc w:val="both"/>
        <w:rPr>
          <w:rFonts w:ascii="Times New Roman" w:eastAsia="黑体" w:cs="Times New Roman"/>
        </w:rPr>
      </w:pPr>
      <w:r>
        <w:rPr>
          <w:rFonts w:ascii="仿宋" w:hAnsi="仿宋" w:eastAsia="仿宋"/>
        </w:rPr>
        <w:t>本理财产品</w:t>
      </w:r>
      <w:r>
        <w:rPr>
          <w:rFonts w:hint="eastAsia" w:ascii="仿宋" w:hAnsi="仿宋" w:eastAsia="仿宋"/>
        </w:rPr>
        <w:t>为非保本浮动收益净值型</w:t>
      </w:r>
      <w:r>
        <w:rPr>
          <w:rFonts w:ascii="仿宋" w:hAnsi="仿宋" w:eastAsia="仿宋"/>
        </w:rPr>
        <w:t>理财产品，根据法律法规及监管要求的有关规定，特向</w:t>
      </w:r>
      <w:r>
        <w:rPr>
          <w:rFonts w:hint="eastAsia" w:ascii="仿宋" w:hAnsi="仿宋" w:eastAsia="仿宋"/>
        </w:rPr>
        <w:t>投资者</w:t>
      </w:r>
      <w:r>
        <w:rPr>
          <w:rFonts w:ascii="仿宋" w:hAnsi="仿宋" w:eastAsia="仿宋"/>
        </w:rPr>
        <w:t>提示如下：与银行存款比较，本理财产品存在投资风险，</w:t>
      </w:r>
      <w:r>
        <w:rPr>
          <w:rFonts w:hint="eastAsia" w:ascii="仿宋" w:hAnsi="仿宋" w:eastAsia="仿宋"/>
        </w:rPr>
        <w:t>投资者</w:t>
      </w:r>
      <w:r>
        <w:rPr>
          <w:rFonts w:ascii="仿宋" w:hAnsi="仿宋" w:eastAsia="仿宋"/>
        </w:rPr>
        <w:t>的本金和收益可能会因市场变动等原因而蒙受损失，</w:t>
      </w:r>
      <w:r>
        <w:rPr>
          <w:rFonts w:hint="eastAsia" w:ascii="仿宋" w:hAnsi="仿宋" w:eastAsia="仿宋"/>
        </w:rPr>
        <w:t>投资者</w:t>
      </w:r>
      <w:r>
        <w:rPr>
          <w:rFonts w:ascii="仿宋" w:hAnsi="仿宋" w:eastAsia="仿宋"/>
        </w:rPr>
        <w:t>应充分认识投资风险，谨慎投资。本理财产品可能面临的风险主要包括：</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（一）本金及理财收益风险：本理财产品不保证本金及理财收益，理财产品收益来源于本理财产品项下投资组合的回报，容易受到企业信用状况变化、市场利率变化、</w:t>
      </w:r>
      <w:r>
        <w:rPr>
          <w:rFonts w:hint="eastAsia" w:ascii="Times New Roman" w:eastAsia="黑体" w:cs="Times New Roman"/>
          <w:b/>
          <w:color w:val="auto"/>
        </w:rPr>
        <w:t>汇率变化、</w:t>
      </w:r>
      <w:r>
        <w:rPr>
          <w:rFonts w:hint="eastAsia" w:ascii="Times New Roman" w:eastAsia="黑体" w:cs="Times New Roman"/>
          <w:b/>
        </w:rPr>
        <w:t>投资组合运作情况以及管理人投资能力等</w:t>
      </w:r>
      <w:r>
        <w:rPr>
          <w:rFonts w:ascii="Times New Roman" w:eastAsia="黑体" w:cs="Times New Roman"/>
          <w:b/>
        </w:rPr>
        <w:t>因素</w:t>
      </w:r>
      <w:r>
        <w:rPr>
          <w:rFonts w:hint="eastAsia" w:ascii="Times New Roman" w:eastAsia="黑体" w:cs="Times New Roman"/>
          <w:b/>
        </w:rPr>
        <w:t>的影响。在最不利的情况下，投资者可能无法获得理财产品投资收益，甚至损失全部理财本金，由此产生的风险由投资者自行承担。</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（二）信用风险：如理财产品</w:t>
      </w:r>
      <w:bookmarkStart w:id="1" w:name="_Hlk76300274"/>
      <w:r>
        <w:rPr>
          <w:rFonts w:hint="eastAsia" w:ascii="Times New Roman" w:eastAsia="黑体" w:cs="Times New Roman"/>
          <w:b/>
          <w:color w:val="auto"/>
        </w:rPr>
        <w:t>所投资的资产</w:t>
      </w:r>
      <w:bookmarkEnd w:id="1"/>
      <w:r>
        <w:rPr>
          <w:rFonts w:hint="eastAsia" w:ascii="Times New Roman" w:eastAsia="黑体" w:cs="Times New Roman"/>
          <w:b/>
          <w:color w:val="auto"/>
        </w:rPr>
        <w:t>发行人、</w:t>
      </w:r>
      <w:r>
        <w:rPr>
          <w:rFonts w:hint="eastAsia" w:ascii="Times New Roman" w:eastAsia="黑体" w:cs="Times New Roman"/>
          <w:b/>
        </w:rPr>
        <w:t>资产管理计划管理人、信托受托人、债务人、担保人（如有）等相关主体发生违约，可能导致无法按时支付本金及理财收益，进而导致本理财产品收益为零甚至本金遭受损失。</w:t>
      </w:r>
    </w:p>
    <w:p>
      <w:pPr>
        <w:pStyle w:val="22"/>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（三）市场风险：本理财产品为非保本浮动收益净值型理财产品，不排除因</w:t>
      </w:r>
      <w:r>
        <w:rPr>
          <w:rFonts w:hint="eastAsia" w:ascii="Times New Roman" w:eastAsia="黑体" w:cs="Times New Roman"/>
          <w:b/>
        </w:rPr>
        <w:t>资产</w:t>
      </w:r>
      <w:r>
        <w:rPr>
          <w:rFonts w:ascii="Times New Roman" w:eastAsia="黑体" w:cs="Times New Roman"/>
          <w:b/>
        </w:rPr>
        <w:t>价格、利率、信用</w:t>
      </w:r>
      <w:r>
        <w:rPr>
          <w:rFonts w:hint="eastAsia" w:ascii="Times New Roman" w:eastAsia="黑体" w:cs="Times New Roman"/>
          <w:b/>
          <w:color w:val="auto"/>
        </w:rPr>
        <w:t>、汇率</w:t>
      </w:r>
      <w:r>
        <w:rPr>
          <w:rFonts w:ascii="Times New Roman" w:eastAsia="黑体" w:cs="Times New Roman"/>
          <w:b/>
        </w:rPr>
        <w:t>以及国家政策等的变动导致本理财产品净值遭受损失的可能。</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（四）流动性风险：</w:t>
      </w:r>
      <w:r>
        <w:rPr>
          <w:rFonts w:ascii="Times New Roman" w:eastAsia="黑体" w:cs="Times New Roman"/>
          <w:b/>
        </w:rPr>
        <w:t>本理财产品为</w:t>
      </w:r>
      <w:r>
        <w:rPr>
          <w:rFonts w:hint="eastAsia" w:ascii="Times New Roman" w:eastAsia="黑体" w:cs="Times New Roman"/>
          <w:b/>
        </w:rPr>
        <w:t>开放式</w:t>
      </w:r>
      <w:r>
        <w:rPr>
          <w:rFonts w:ascii="Times New Roman" w:eastAsia="黑体" w:cs="Times New Roman"/>
          <w:b/>
        </w:rPr>
        <w:t>净值型理财产品，投资者无权随时终止</w:t>
      </w:r>
      <w:r>
        <w:rPr>
          <w:rFonts w:hint="eastAsia" w:ascii="Times New Roman" w:eastAsia="黑体" w:cs="Times New Roman"/>
          <w:b/>
        </w:rPr>
        <w:t>本</w:t>
      </w:r>
      <w:r>
        <w:rPr>
          <w:rFonts w:ascii="Times New Roman" w:eastAsia="黑体" w:cs="Times New Roman"/>
          <w:b/>
        </w:rPr>
        <w:t>理财产品，</w:t>
      </w:r>
      <w:r>
        <w:rPr>
          <w:rFonts w:hint="eastAsia" w:ascii="Times New Roman" w:eastAsia="黑体" w:cs="Times New Roman"/>
          <w:b/>
        </w:rPr>
        <w:t>只能在本产品说明书规定的开放日及开放时间内办理申购与赎回</w:t>
      </w:r>
      <w:r>
        <w:rPr>
          <w:rFonts w:hint="eastAsia" w:eastAsia="黑体"/>
          <w:b/>
        </w:rPr>
        <w:t>。除本产品说明书规定情形以外，</w:t>
      </w:r>
      <w:r>
        <w:rPr>
          <w:rFonts w:eastAsia="黑体"/>
          <w:b/>
        </w:rPr>
        <w:t>封闭期</w:t>
      </w:r>
      <w:r>
        <w:rPr>
          <w:rFonts w:hint="eastAsia" w:eastAsia="黑体"/>
          <w:b/>
        </w:rPr>
        <w:t>或最短持有期内产品管理人</w:t>
      </w:r>
      <w:r>
        <w:rPr>
          <w:rFonts w:eastAsia="黑体"/>
          <w:b/>
        </w:rPr>
        <w:t>不受理</w:t>
      </w:r>
      <w:r>
        <w:rPr>
          <w:rFonts w:hint="eastAsia" w:eastAsia="黑体"/>
          <w:b/>
        </w:rPr>
        <w:t>投资者</w:t>
      </w:r>
      <w:r>
        <w:rPr>
          <w:rFonts w:eastAsia="黑体"/>
          <w:b/>
        </w:rPr>
        <w:t>任何形式的提前赎回申请。以上情形均</w:t>
      </w:r>
      <w:r>
        <w:rPr>
          <w:rFonts w:hint="eastAsia" w:ascii="Times New Roman" w:eastAsia="黑体" w:cs="Times New Roman"/>
          <w:b/>
        </w:rPr>
        <w:t>可能影响投资者的资金安排，带来流动性风险</w:t>
      </w:r>
      <w:r>
        <w:rPr>
          <w:rFonts w:ascii="Times New Roman" w:eastAsia="黑体" w:cs="Times New Roman"/>
          <w:b/>
        </w:rPr>
        <w:t>。</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五）投资风险：本理财产品的实际收益率取决于所投资金融工具的收益率，投资者应对此有充分的认识。除本产品说明书中明确规定的收益或收益分配方式外，任何业绩比较基准、收益示例或类似表述均不具有法律约束力，不代表投资者可能获得的实际收益，亦不构成华夏理财/代销机构对本理财产品的任何收益承诺。</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rPr>
        <w:t>可能影响本理财产品的投资运作和收益，甚至</w:t>
      </w:r>
      <w:r>
        <w:rPr>
          <w:rFonts w:hint="eastAsia" w:ascii="Times New Roman" w:eastAsia="黑体" w:cs="Times New Roman"/>
          <w:b/>
        </w:rPr>
        <w:t>造成</w:t>
      </w:r>
      <w:r>
        <w:rPr>
          <w:rFonts w:ascii="Times New Roman" w:eastAsia="黑体" w:cs="Times New Roman"/>
          <w:b/>
        </w:rPr>
        <w:t>本金损失。</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（八）</w:t>
      </w:r>
      <w:r>
        <w:rPr>
          <w:rFonts w:ascii="Times New Roman" w:eastAsia="黑体" w:cs="Times New Roman"/>
          <w:b/>
        </w:rPr>
        <w:t>理财产品不成立风险：</w:t>
      </w:r>
      <w:r>
        <w:rPr>
          <w:rFonts w:hint="eastAsia" w:ascii="Times New Roman" w:eastAsia="黑体" w:cs="Times New Roman"/>
          <w:b/>
        </w:rPr>
        <w:t>募集期</w:t>
      </w:r>
      <w:r>
        <w:rPr>
          <w:rFonts w:ascii="Times New Roman" w:eastAsia="黑体" w:cs="Times New Roman"/>
          <w:b/>
        </w:rPr>
        <w:t>结束，如理财产品</w:t>
      </w:r>
      <w:r>
        <w:rPr>
          <w:rFonts w:hint="eastAsia" w:ascii="Times New Roman" w:eastAsia="黑体" w:cs="Times New Roman"/>
          <w:b/>
        </w:rPr>
        <w:t>募集</w:t>
      </w:r>
      <w:r>
        <w:rPr>
          <w:rFonts w:ascii="Times New Roman" w:eastAsia="黑体" w:cs="Times New Roman"/>
          <w:b/>
        </w:rPr>
        <w:t>总金额未达到发行</w:t>
      </w:r>
      <w:r>
        <w:rPr>
          <w:rFonts w:hint="eastAsia" w:ascii="Times New Roman" w:eastAsia="黑体" w:cs="Times New Roman"/>
          <w:b/>
        </w:rPr>
        <w:t>规模</w:t>
      </w:r>
      <w:r>
        <w:rPr>
          <w:rFonts w:ascii="Times New Roman" w:eastAsia="黑体" w:cs="Times New Roman"/>
          <w:b/>
        </w:rPr>
        <w:t>下限</w:t>
      </w:r>
      <w:r>
        <w:rPr>
          <w:rFonts w:hint="eastAsia" w:ascii="Times New Roman" w:eastAsia="黑体" w:cs="Times New Roman"/>
          <w:b/>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rPr>
        <w:t>华夏</w:t>
      </w:r>
      <w:r>
        <w:rPr>
          <w:rFonts w:hint="eastAsia" w:ascii="Times New Roman" w:eastAsia="黑体" w:cs="Times New Roman"/>
          <w:b/>
        </w:rPr>
        <w:t>理财</w:t>
      </w:r>
      <w:r>
        <w:rPr>
          <w:rFonts w:ascii="Times New Roman" w:eastAsia="黑体" w:cs="Times New Roman"/>
          <w:b/>
        </w:rPr>
        <w:t>有权宣布本理财产品不成立。</w:t>
      </w:r>
    </w:p>
    <w:p>
      <w:pPr>
        <w:pStyle w:val="22"/>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w:t>
      </w:r>
      <w:r>
        <w:rPr>
          <w:rFonts w:hint="eastAsia" w:ascii="Times New Roman" w:eastAsia="黑体" w:cs="Times New Roman"/>
          <w:b/>
        </w:rPr>
        <w:t>九</w:t>
      </w:r>
      <w:r>
        <w:rPr>
          <w:rFonts w:ascii="Times New Roman" w:eastAsia="黑体" w:cs="Times New Roman"/>
          <w:b/>
        </w:rPr>
        <w:t>）</w:t>
      </w:r>
      <w:r>
        <w:rPr>
          <w:rFonts w:hint="eastAsia" w:ascii="Times New Roman" w:eastAsia="黑体" w:cs="Times New Roman"/>
          <w:b/>
        </w:rPr>
        <w:t>提前终止风险：如遇前述提前</w:t>
      </w:r>
      <w:r>
        <w:rPr>
          <w:rFonts w:ascii="Times New Roman" w:eastAsia="黑体" w:cs="Times New Roman"/>
          <w:b/>
        </w:rPr>
        <w:t>终止权</w:t>
      </w:r>
      <w:r>
        <w:rPr>
          <w:rFonts w:hint="eastAsia" w:ascii="Times New Roman" w:eastAsia="黑体" w:cs="Times New Roman"/>
          <w:b/>
        </w:rPr>
        <w:t>条款中涉及</w:t>
      </w:r>
      <w:r>
        <w:rPr>
          <w:rFonts w:ascii="Times New Roman" w:eastAsia="黑体" w:cs="Times New Roman"/>
          <w:b/>
        </w:rPr>
        <w:t>的</w:t>
      </w:r>
      <w:r>
        <w:rPr>
          <w:rFonts w:hint="eastAsia" w:ascii="Times New Roman" w:eastAsia="黑体" w:cs="Times New Roman"/>
          <w:b/>
        </w:rPr>
        <w:t>情形，华夏理财有权提前终止本理财产品，投资者可能收益为零甚至损失理财本金。</w:t>
      </w:r>
    </w:p>
    <w:p>
      <w:pPr>
        <w:pStyle w:val="22"/>
        <w:snapToGrid w:val="0"/>
        <w:spacing w:line="276" w:lineRule="auto"/>
        <w:ind w:firstLine="482" w:firstLineChars="200"/>
        <w:contextualSpacing/>
        <w:jc w:val="both"/>
        <w:rPr>
          <w:rFonts w:ascii="Times New Roman" w:eastAsia="黑体" w:cs="Times New Roman"/>
          <w:b/>
        </w:rPr>
      </w:pPr>
      <w:r>
        <w:rPr>
          <w:rFonts w:hint="eastAsia" w:eastAsia="黑体"/>
          <w:b/>
        </w:rPr>
        <w:t>（十）延期风险：对于有确定到期日的理财产品，</w:t>
      </w:r>
      <w:r>
        <w:rPr>
          <w:rFonts w:eastAsia="黑体"/>
          <w:b/>
        </w:rPr>
        <w:t>如因与理财产品投资资产相关的</w:t>
      </w:r>
      <w:r>
        <w:rPr>
          <w:rFonts w:hint="eastAsia" w:eastAsia="黑体"/>
          <w:b/>
        </w:rPr>
        <w:t>资产管理计划管理人、</w:t>
      </w:r>
      <w:r>
        <w:rPr>
          <w:rFonts w:eastAsia="黑体"/>
          <w:b/>
        </w:rPr>
        <w:t>信托受托人、债务人、担保人（如有）等主体发生违约，导致本理财产品不能按时偿</w:t>
      </w:r>
      <w:r>
        <w:rPr>
          <w:rFonts w:hint="eastAsia" w:eastAsia="黑体"/>
          <w:b/>
        </w:rPr>
        <w:t>付理财</w:t>
      </w:r>
      <w:r>
        <w:rPr>
          <w:rFonts w:eastAsia="黑体"/>
          <w:b/>
        </w:rPr>
        <w:t>本金及收益</w:t>
      </w:r>
      <w:r>
        <w:rPr>
          <w:rFonts w:hint="eastAsia" w:eastAsia="黑体"/>
          <w:b/>
        </w:rPr>
        <w:t>；或因市场成交量不足、资产限制赎回、暂停交易、缺乏意愿交易对手等原因，管理人未能及时完成资产变现，则本</w:t>
      </w:r>
      <w:r>
        <w:rPr>
          <w:rFonts w:eastAsia="黑体"/>
          <w:b/>
        </w:rPr>
        <w:t>理财</w:t>
      </w:r>
      <w:r>
        <w:rPr>
          <w:rFonts w:hint="eastAsia" w:eastAsia="黑体"/>
          <w:b/>
        </w:rPr>
        <w:t>产品</w:t>
      </w:r>
      <w:r>
        <w:rPr>
          <w:rFonts w:eastAsia="黑体"/>
          <w:b/>
        </w:rPr>
        <w:t>期限将相应延长。</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2" w:name="_Hlk76301212"/>
      <w:r>
        <w:rPr>
          <w:rFonts w:hint="eastAsia" w:ascii="Times New Roman" w:eastAsia="黑体" w:cs="Times New Roman"/>
          <w:b/>
          <w:color w:val="auto"/>
        </w:rPr>
        <w:t>华夏理财/代销机构</w:t>
      </w:r>
      <w:bookmarkEnd w:id="2"/>
      <w:r>
        <w:rPr>
          <w:rFonts w:hint="eastAsia" w:ascii="Times New Roman" w:eastAsia="黑体" w:cs="Times New Roman"/>
          <w:b/>
        </w:rPr>
        <w:t>的有效联系方式变更的，应及时通知</w:t>
      </w:r>
      <w:r>
        <w:rPr>
          <w:rFonts w:hint="eastAsia" w:ascii="Times New Roman" w:eastAsia="黑体" w:cs="Times New Roman"/>
          <w:b/>
          <w:color w:val="auto"/>
        </w:rPr>
        <w:t>华夏理财/代销机构</w:t>
      </w:r>
      <w:r>
        <w:rPr>
          <w:rFonts w:hint="eastAsia" w:ascii="Times New Roman" w:eastAsia="黑体" w:cs="Times New Roman"/>
          <w:b/>
        </w:rPr>
        <w:t>。因投资者未及时告知导致的信息传递失败的风险由投资者自行承担。</w:t>
      </w:r>
    </w:p>
    <w:p>
      <w:pPr>
        <w:pStyle w:val="22"/>
        <w:snapToGrid w:val="0"/>
        <w:spacing w:line="276" w:lineRule="auto"/>
        <w:ind w:firstLine="482"/>
        <w:contextualSpacing/>
        <w:rPr>
          <w:rFonts w:ascii="Times New Roman" w:eastAsia="黑体" w:cs="Times New Roman"/>
          <w:b/>
        </w:rPr>
      </w:pPr>
      <w:r>
        <w:rPr>
          <w:rFonts w:hint="eastAsia" w:ascii="Times New Roman" w:eastAsia="黑体" w:cs="Times New Roman"/>
          <w:b/>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（十三）拟投资市场及资产的流动性风险评估</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w:t>
      </w:r>
    </w:p>
    <w:p>
      <w:pPr>
        <w:pStyle w:val="22"/>
        <w:snapToGrid w:val="0"/>
        <w:spacing w:line="276" w:lineRule="auto"/>
        <w:ind w:firstLine="482" w:firstLineChars="200"/>
        <w:contextualSpacing/>
        <w:rPr>
          <w:rFonts w:ascii="仿宋" w:hAnsi="仿宋" w:eastAsia="仿宋"/>
          <w:bCs/>
          <w:szCs w:val="21"/>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投资者的赎回，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（十四）流动性应对措施及对投资者的潜在影响</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1．认（申）购风险应对措施及对投资者的潜在影响</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将加强对本理财产品认（申）购环节的管理，合理控制理财产品投资者集中度，审慎确认大额认（申）购申请。当接受认（申）购申请对存量理财产品投资者利益构成潜在重大不利影响时，管理人将采取设定单一投资者认（申）购金额上限或理财产品单日净认（申）购比例上限、拒绝大额认（申）购申请、暂停理财产品认（申）购等措施对理财产品规模予以控制，切实保护存量理财产品投资者的合法权益。具体详见产品说明书中“一、产品概述”及“五、</w:t>
      </w:r>
      <w:r>
        <w:rPr>
          <w:rFonts w:ascii="Times New Roman" w:eastAsia="黑体" w:cs="Times New Roman"/>
          <w:b/>
        </w:rPr>
        <w:t>认购</w:t>
      </w:r>
      <w:r>
        <w:rPr>
          <w:rFonts w:hint="eastAsia" w:ascii="Times New Roman" w:eastAsia="黑体" w:cs="Times New Roman"/>
          <w:b/>
        </w:rPr>
        <w:t>、申购、赎回”。</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当管理人采用认（申）购风险应对措施时，可能对投资者造成一定的潜在影响，包括但不限于不能认（申）购本理财产品、认（申）购交易全部或部分确认失败等。</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2．赎回风险应对措施及对投资者的潜在影响</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赎回流动性风险应对措施，包括但不限于：设置赎回上限、延期办理巨额赎回申请、暂停接受赎回申请、延缓支付赎回款项、收取短期赎回费、暂停理财产品估值、摆动定价，以及监管机构规定的其他风险应对措施。具体详见本理财产品说明书“一、产品概述”及“五、认购、申购、赎回”。</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当管理人实施赎回流动性风险应对措施时，可能对投资者造成一定的潜在影响，包括但不限于赎回交易全部或部分确认失败、赎回款项延迟到账、增加申赎成本或产生赎回费用等。</w:t>
      </w:r>
    </w:p>
    <w:p>
      <w:pPr>
        <w:pStyle w:val="22"/>
        <w:numPr>
          <w:ilvl w:val="0"/>
          <w:numId w:val="1"/>
        </w:numPr>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其他风险：由于自然灾害</w:t>
      </w:r>
      <w:r>
        <w:rPr>
          <w:rFonts w:ascii="Times New Roman" w:eastAsia="黑体" w:cs="Times New Roman"/>
          <w:b/>
        </w:rPr>
        <w:t>、战争或国家政策变化等不能预见、不能避免</w:t>
      </w:r>
      <w:r>
        <w:rPr>
          <w:rFonts w:hint="eastAsia" w:ascii="Times New Roman" w:eastAsia="黑体" w:cs="Times New Roman"/>
          <w:b/>
        </w:rPr>
        <w:t>、</w:t>
      </w:r>
      <w:r>
        <w:rPr>
          <w:rFonts w:ascii="Times New Roman" w:eastAsia="黑体" w:cs="Times New Roman"/>
          <w:b/>
        </w:rPr>
        <w:t>不能克服的</w:t>
      </w:r>
      <w:r>
        <w:rPr>
          <w:rFonts w:hint="eastAsia" w:ascii="Times New Roman" w:eastAsia="黑体" w:cs="Times New Roman"/>
          <w:b/>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rPr>
        <w:t>导致理财产品所投资资产收益降低或损失，甚至影响理财产品的受理、投资、偿还等的正常进行，进而影响理财产品的投资收益和本金安全。</w:t>
      </w:r>
    </w:p>
    <w:p>
      <w:pPr>
        <w:pStyle w:val="22"/>
        <w:numPr>
          <w:ilvl w:val="0"/>
          <w:numId w:val="0"/>
        </w:numPr>
        <w:snapToGrid w:val="0"/>
        <w:spacing w:line="276" w:lineRule="auto"/>
        <w:ind w:firstLine="0" w:firstLineChars="0"/>
        <w:contextualSpacing/>
        <w:jc w:val="both"/>
        <w:rPr>
          <w:rFonts w:hint="eastAsia" w:ascii="Times New Roman" w:eastAsia="黑体" w:cs="Times New Roman"/>
          <w:b/>
          <w:color w:val="auto"/>
        </w:rPr>
      </w:pPr>
      <w:r>
        <w:rPr>
          <w:rFonts w:hint="eastAsia" w:ascii="Times New Roman" w:eastAsia="黑体" w:cs="Times New Roman"/>
          <w:b/>
          <w:color w:val="auto"/>
          <w:lang w:val="en-US" w:eastAsia="zh-CN"/>
        </w:rPr>
        <w:t xml:space="preserve">    （十六）</w:t>
      </w:r>
      <w:r>
        <w:rPr>
          <w:rFonts w:hint="eastAsia" w:ascii="Times New Roman" w:eastAsia="黑体" w:cs="Times New Roman"/>
          <w:b/>
          <w:color w:val="auto"/>
        </w:rPr>
        <w:t>本产品特有风险说明</w:t>
      </w:r>
    </w:p>
    <w:p>
      <w:pPr>
        <w:pStyle w:val="22"/>
        <w:numPr>
          <w:ilvl w:val="0"/>
          <w:numId w:val="0"/>
        </w:numPr>
        <w:snapToGrid w:val="0"/>
        <w:spacing w:line="276" w:lineRule="auto"/>
        <w:ind w:firstLine="0" w:firstLineChars="0"/>
        <w:contextualSpacing/>
        <w:jc w:val="both"/>
        <w:rPr>
          <w:rFonts w:hint="eastAsia" w:ascii="Times New Roman" w:eastAsia="黑体" w:cs="Times New Roman"/>
          <w:b/>
          <w:color w:val="auto"/>
        </w:rPr>
      </w:pPr>
      <w:r>
        <w:rPr>
          <w:rFonts w:hint="eastAsia" w:ascii="Times New Roman" w:eastAsia="黑体" w:cs="Times New Roman"/>
          <w:b/>
          <w:color w:val="auto"/>
          <w:lang w:val="en-US" w:eastAsia="zh-CN"/>
        </w:rPr>
        <w:t xml:space="preserve">    </w:t>
      </w:r>
      <w:r>
        <w:rPr>
          <w:rFonts w:hint="eastAsia" w:ascii="Times New Roman" w:eastAsia="黑体" w:cs="Times New Roman"/>
          <w:b/>
          <w:color w:val="auto"/>
        </w:rPr>
        <w:t>本产品由于</w:t>
      </w:r>
      <w:r>
        <w:rPr>
          <w:rFonts w:hint="eastAsia" w:ascii="Times New Roman" w:eastAsia="黑体" w:cs="Times New Roman"/>
          <w:b/>
          <w:color w:val="auto"/>
          <w:lang w:val="en-US" w:eastAsia="zh-CN"/>
        </w:rPr>
        <w:t>投资于</w:t>
      </w:r>
      <w:r>
        <w:rPr>
          <w:rFonts w:hint="eastAsia" w:ascii="Times New Roman" w:eastAsia="黑体" w:cs="Times New Roman"/>
          <w:b/>
          <w:lang w:val="en-US" w:eastAsia="zh-CN"/>
        </w:rPr>
        <w:t>货币市场工具、标准化债权类资产等</w:t>
      </w:r>
      <w:r>
        <w:rPr>
          <w:rFonts w:hint="eastAsia" w:ascii="Times New Roman" w:eastAsia="黑体" w:cs="Times New Roman"/>
          <w:b/>
          <w:color w:val="auto"/>
        </w:rPr>
        <w:t>固定收益类资产，因此可能面临如下特定风险：</w:t>
      </w:r>
    </w:p>
    <w:p>
      <w:pPr>
        <w:pStyle w:val="22"/>
        <w:numPr>
          <w:ilvl w:val="0"/>
          <w:numId w:val="0"/>
        </w:numPr>
        <w:snapToGrid w:val="0"/>
        <w:spacing w:line="276" w:lineRule="auto"/>
        <w:ind w:firstLine="0" w:firstLineChars="0"/>
        <w:contextualSpacing/>
        <w:jc w:val="both"/>
        <w:rPr>
          <w:rFonts w:hint="eastAsia" w:ascii="Times New Roman" w:eastAsia="黑体" w:cs="Times New Roman"/>
          <w:b/>
          <w:color w:val="auto"/>
          <w:lang w:val="en-US" w:eastAsia="zh-CN"/>
        </w:rPr>
      </w:pPr>
      <w:r>
        <w:rPr>
          <w:rFonts w:hint="eastAsia" w:ascii="Times New Roman" w:eastAsia="黑体" w:cs="Times New Roman"/>
          <w:b/>
          <w:color w:val="auto"/>
          <w:lang w:val="en-US" w:eastAsia="zh-CN"/>
        </w:rPr>
        <w:t xml:space="preserve">    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(5)债券市场出现整体下跌，导致债券市场的系统性风险等。（6）</w:t>
      </w:r>
      <w:r>
        <w:rPr>
          <w:rFonts w:hint="eastAsia" w:ascii="Times New Roman" w:eastAsia="黑体" w:cs="Times New Roman"/>
          <w:b/>
          <w:color w:val="auto"/>
        </w:rPr>
        <w:t>可转</w:t>
      </w:r>
      <w:r>
        <w:rPr>
          <w:rFonts w:hint="eastAsia" w:ascii="Times New Roman" w:eastAsia="黑体" w:cs="Times New Roman"/>
          <w:b/>
          <w:color w:val="auto"/>
          <w:lang w:eastAsia="zh-CN"/>
        </w:rPr>
        <w:t>/</w:t>
      </w:r>
      <w:r>
        <w:rPr>
          <w:rFonts w:hint="eastAsia" w:ascii="Times New Roman" w:eastAsia="黑体" w:cs="Times New Roman"/>
          <w:b/>
          <w:color w:val="auto"/>
        </w:rPr>
        <w:t>交换债券投资风险（如有）：</w:t>
      </w:r>
      <w:r>
        <w:rPr>
          <w:rFonts w:hint="eastAsia" w:ascii="Times New Roman" w:eastAsia="黑体" w:cs="Times New Roman"/>
          <w:b/>
          <w:color w:val="auto"/>
          <w:lang w:val="en-US" w:eastAsia="zh-CN"/>
        </w:rPr>
        <w:t>A、</w:t>
      </w:r>
      <w:r>
        <w:rPr>
          <w:rFonts w:hint="eastAsia" w:ascii="Times New Roman" w:eastAsia="黑体" w:cs="Times New Roman"/>
          <w:b/>
          <w:color w:val="auto"/>
        </w:rPr>
        <w:t>可转</w:t>
      </w:r>
      <w:r>
        <w:rPr>
          <w:rFonts w:hint="eastAsia" w:ascii="Times New Roman" w:eastAsia="黑体" w:cs="Times New Roman"/>
          <w:b/>
          <w:color w:val="auto"/>
          <w:lang w:eastAsia="zh-CN"/>
        </w:rPr>
        <w:t>/</w:t>
      </w:r>
      <w:r>
        <w:rPr>
          <w:rFonts w:hint="eastAsia" w:ascii="Times New Roman" w:eastAsia="黑体" w:cs="Times New Roman"/>
          <w:b/>
          <w:color w:val="auto"/>
        </w:rPr>
        <w:t>交换债券收益与对应标的股票股价直接挂钩，</w:t>
      </w:r>
      <w:r>
        <w:rPr>
          <w:rFonts w:hint="eastAsia" w:ascii="Times New Roman" w:eastAsia="黑体" w:cs="Times New Roman"/>
          <w:b/>
          <w:color w:val="auto"/>
          <w:lang w:val="en-US" w:eastAsia="zh-CN"/>
        </w:rPr>
        <w:t>债券价格</w:t>
      </w:r>
      <w:r>
        <w:rPr>
          <w:rFonts w:hint="eastAsia" w:ascii="Times New Roman" w:eastAsia="黑体" w:cs="Times New Roman"/>
          <w:b/>
          <w:color w:val="auto"/>
        </w:rPr>
        <w:t>可能受</w:t>
      </w:r>
      <w:r>
        <w:rPr>
          <w:rFonts w:hint="eastAsia" w:ascii="Times New Roman" w:eastAsia="黑体" w:cs="Times New Roman"/>
          <w:b/>
          <w:color w:val="auto"/>
          <w:lang w:val="en-US" w:eastAsia="zh-CN"/>
        </w:rPr>
        <w:t>之</w:t>
      </w:r>
      <w:r>
        <w:rPr>
          <w:rFonts w:hint="eastAsia" w:ascii="Times New Roman" w:eastAsia="黑体" w:cs="Times New Roman"/>
          <w:b/>
          <w:color w:val="auto"/>
        </w:rPr>
        <w:t>影响；</w:t>
      </w:r>
      <w:r>
        <w:rPr>
          <w:rFonts w:hint="eastAsia" w:ascii="Times New Roman" w:eastAsia="黑体" w:cs="Times New Roman"/>
          <w:b/>
          <w:color w:val="auto"/>
          <w:lang w:val="en-US" w:eastAsia="zh-CN"/>
        </w:rPr>
        <w:t>B、</w:t>
      </w:r>
      <w:r>
        <w:rPr>
          <w:rFonts w:hint="eastAsia" w:ascii="Times New Roman" w:eastAsia="黑体" w:cs="Times New Roman"/>
          <w:b/>
          <w:color w:val="auto"/>
        </w:rPr>
        <w:t>转股期内，对应标的股票价格可能低于转股价格，若选择转股，产品将承受标的股票价格低于转股价格之间的价差；</w:t>
      </w:r>
      <w:r>
        <w:rPr>
          <w:rFonts w:hint="eastAsia" w:ascii="Times New Roman" w:eastAsia="黑体" w:cs="Times New Roman"/>
          <w:b/>
          <w:color w:val="auto"/>
          <w:lang w:val="en-US" w:eastAsia="zh-CN"/>
        </w:rPr>
        <w:t>C、</w:t>
      </w:r>
      <w:r>
        <w:rPr>
          <w:rFonts w:hint="eastAsia" w:ascii="Times New Roman" w:eastAsia="黑体" w:cs="Times New Roman"/>
          <w:b/>
          <w:color w:val="auto"/>
        </w:rPr>
        <w:t>转股价格向下修正条款触发时，存在发行方</w:t>
      </w:r>
      <w:r>
        <w:rPr>
          <w:rFonts w:hint="eastAsia" w:ascii="Times New Roman" w:eastAsia="黑体" w:cs="Times New Roman"/>
          <w:b/>
          <w:color w:val="auto"/>
          <w:lang w:val="en-US" w:eastAsia="zh-CN"/>
        </w:rPr>
        <w:t>不</w:t>
      </w:r>
      <w:r>
        <w:rPr>
          <w:rFonts w:hint="eastAsia" w:ascii="Times New Roman" w:eastAsia="黑体" w:cs="Times New Roman"/>
          <w:b/>
          <w:color w:val="auto"/>
        </w:rPr>
        <w:t>同意修正转股价格的风险；</w:t>
      </w:r>
      <w:r>
        <w:rPr>
          <w:rFonts w:hint="eastAsia" w:ascii="Times New Roman" w:eastAsia="黑体" w:cs="Times New Roman"/>
          <w:b/>
          <w:color w:val="auto"/>
          <w:lang w:val="en-US" w:eastAsia="zh-CN"/>
        </w:rPr>
        <w:t>D、</w:t>
      </w:r>
      <w:r>
        <w:rPr>
          <w:rFonts w:hint="eastAsia" w:ascii="Times New Roman" w:eastAsia="黑体" w:cs="Times New Roman"/>
          <w:b/>
          <w:color w:val="auto"/>
        </w:rPr>
        <w:t>赎回条款可能导致债券提前兑付或转股期缩短而影响投资收益的风险；</w:t>
      </w:r>
      <w:r>
        <w:rPr>
          <w:rFonts w:hint="eastAsia" w:ascii="Times New Roman" w:eastAsia="黑体" w:cs="Times New Roman"/>
          <w:b/>
          <w:color w:val="auto"/>
          <w:lang w:val="en-US" w:eastAsia="zh-CN"/>
        </w:rPr>
        <w:t>E、</w:t>
      </w:r>
      <w:r>
        <w:rPr>
          <w:rFonts w:hint="eastAsia" w:ascii="Times New Roman" w:eastAsia="黑体" w:cs="Times New Roman"/>
          <w:b/>
          <w:color w:val="auto"/>
        </w:rPr>
        <w:t>存在因政策限制导致无法转股的风险</w:t>
      </w:r>
      <w:r>
        <w:rPr>
          <w:rFonts w:hint="eastAsia" w:ascii="Times New Roman" w:eastAsia="黑体" w:cs="Times New Roman"/>
          <w:b/>
          <w:color w:val="auto"/>
          <w:lang w:eastAsia="zh-CN"/>
        </w:rPr>
        <w:t>，</w:t>
      </w:r>
      <w:r>
        <w:rPr>
          <w:rFonts w:hint="eastAsia" w:ascii="Times New Roman" w:eastAsia="黑体" w:cs="Times New Roman"/>
          <w:b/>
          <w:color w:val="auto"/>
        </w:rPr>
        <w:t>可转</w:t>
      </w:r>
      <w:r>
        <w:rPr>
          <w:rFonts w:hint="eastAsia" w:ascii="Times New Roman" w:eastAsia="黑体" w:cs="Times New Roman"/>
          <w:b/>
          <w:color w:val="auto"/>
          <w:lang w:val="en-US" w:eastAsia="zh-CN"/>
        </w:rPr>
        <w:t>/</w:t>
      </w:r>
      <w:r>
        <w:rPr>
          <w:rFonts w:hint="eastAsia" w:ascii="Times New Roman" w:eastAsia="黑体" w:cs="Times New Roman"/>
          <w:b/>
          <w:color w:val="auto"/>
        </w:rPr>
        <w:t>交换债券投资受到包括但不限于上述因素影响时，可能影响投资者收益，甚至使产品</w:t>
      </w:r>
      <w:r>
        <w:rPr>
          <w:rFonts w:hint="eastAsia" w:ascii="Times New Roman" w:eastAsia="黑体" w:cs="Times New Roman"/>
          <w:b/>
          <w:color w:val="auto"/>
          <w:lang w:val="en-US" w:eastAsia="zh-CN"/>
        </w:rPr>
        <w:t>本金</w:t>
      </w:r>
      <w:r>
        <w:rPr>
          <w:rFonts w:hint="eastAsia" w:ascii="Times New Roman" w:eastAsia="黑体" w:cs="Times New Roman"/>
          <w:b/>
          <w:color w:val="auto"/>
        </w:rPr>
        <w:t>遭受损失。</w:t>
      </w:r>
      <w:r>
        <w:rPr>
          <w:rFonts w:hint="eastAsia" w:ascii="Times New Roman" w:hAnsi="Times New Roman" w:eastAsia="黑体" w:cs="Times New Roman"/>
          <w:b/>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hAnsi="Times New Roman" w:eastAsia="黑体" w:cs="Times New Roman"/>
          <w:b/>
          <w:kern w:val="0"/>
          <w:sz w:val="24"/>
          <w:szCs w:val="24"/>
        </w:rPr>
        <w:t>。</w:t>
      </w:r>
      <w:r>
        <w:rPr>
          <w:rFonts w:hint="eastAsia" w:ascii="Times New Roman" w:eastAsia="黑体" w:cs="Times New Roman"/>
          <w:b/>
          <w:color w:val="auto"/>
        </w:rPr>
        <w:t xml:space="preserve"> </w:t>
      </w:r>
    </w:p>
    <w:p>
      <w:pPr>
        <w:pStyle w:val="22"/>
        <w:numPr>
          <w:ilvl w:val="0"/>
          <w:numId w:val="0"/>
        </w:numPr>
        <w:snapToGrid w:val="0"/>
        <w:spacing w:line="276" w:lineRule="auto"/>
        <w:ind w:firstLine="0" w:firstLineChars="0"/>
        <w:contextualSpacing/>
        <w:jc w:val="both"/>
        <w:rPr>
          <w:rFonts w:hint="eastAsia" w:ascii="Times New Roman" w:eastAsia="黑体" w:cs="Times New Roman"/>
          <w:b/>
          <w:color w:val="auto"/>
          <w:lang w:val="en-US"/>
        </w:rPr>
      </w:pPr>
      <w:r>
        <w:rPr>
          <w:rFonts w:hint="eastAsia" w:ascii="Times New Roman" w:eastAsia="黑体" w:cs="Times New Roman"/>
          <w:b/>
          <w:color w:val="auto"/>
          <w:lang w:val="en-US" w:eastAsia="zh-CN"/>
        </w:rPr>
        <w:t xml:space="preserve">    2.</w:t>
      </w:r>
      <w:r>
        <w:rPr>
          <w:rFonts w:hint="eastAsia" w:ascii="Times New Roman" w:eastAsia="黑体" w:cs="Times New Roman"/>
          <w:b/>
          <w:color w:val="auto"/>
        </w:rPr>
        <w:t>投资于资产支持证券的</w:t>
      </w:r>
      <w:r>
        <w:rPr>
          <w:rFonts w:hint="eastAsia" w:ascii="Times New Roman" w:eastAsia="黑体" w:cs="Times New Roman"/>
          <w:b/>
          <w:color w:val="auto"/>
          <w:lang w:val="en-US" w:eastAsia="zh-CN"/>
        </w:rPr>
        <w:t>可能</w:t>
      </w:r>
      <w:r>
        <w:rPr>
          <w:rFonts w:hint="eastAsia" w:ascii="Times New Roman" w:eastAsia="黑体" w:cs="Times New Roman"/>
          <w:b/>
          <w:color w:val="auto"/>
        </w:rPr>
        <w:t>风险</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1</w:t>
      </w:r>
      <w:r>
        <w:rPr>
          <w:rFonts w:hint="eastAsia" w:ascii="Times New Roman" w:eastAsia="黑体" w:cs="Times New Roman"/>
          <w:b/>
          <w:color w:val="auto"/>
          <w:lang w:eastAsia="zh-CN"/>
        </w:rPr>
        <w:t>）</w:t>
      </w:r>
      <w:r>
        <w:rPr>
          <w:rFonts w:hint="eastAsia" w:ascii="Times New Roman" w:eastAsia="黑体" w:cs="Times New Roman"/>
          <w:b/>
          <w:color w:val="auto"/>
        </w:rPr>
        <w:t>资产支持证券的投资收益取决于</w:t>
      </w:r>
      <w:r>
        <w:rPr>
          <w:rFonts w:hint="eastAsia" w:ascii="Times New Roman" w:eastAsia="黑体" w:cs="Times New Roman"/>
          <w:b/>
          <w:color w:val="auto"/>
          <w:lang w:val="en-US" w:eastAsia="zh-CN"/>
        </w:rPr>
        <w:t>项下</w:t>
      </w:r>
      <w:r>
        <w:rPr>
          <w:rFonts w:hint="eastAsia" w:ascii="Times New Roman" w:eastAsia="黑体" w:cs="Times New Roman"/>
          <w:b/>
          <w:color w:val="auto"/>
        </w:rPr>
        <w:t>基础资产情况，如该基础资产发生原始权益人</w:t>
      </w:r>
      <w:r>
        <w:rPr>
          <w:rFonts w:hint="eastAsia" w:ascii="Times New Roman" w:eastAsia="黑体" w:cs="Times New Roman"/>
          <w:b/>
          <w:color w:val="auto"/>
          <w:lang w:val="en-US" w:eastAsia="zh-CN"/>
        </w:rPr>
        <w:t>偿债能力变化、</w:t>
      </w:r>
      <w:r>
        <w:rPr>
          <w:rFonts w:hint="eastAsia" w:ascii="Times New Roman" w:eastAsia="黑体" w:cs="Times New Roman"/>
          <w:b/>
          <w:color w:val="auto"/>
        </w:rPr>
        <w:t>破产或基础资产项下现金流未能及时完整</w:t>
      </w:r>
      <w:r>
        <w:rPr>
          <w:rFonts w:hint="eastAsia" w:ascii="Times New Roman" w:eastAsia="黑体" w:cs="Times New Roman"/>
          <w:b/>
          <w:color w:val="auto"/>
          <w:lang w:val="en-US" w:eastAsia="zh-CN"/>
        </w:rPr>
        <w:t>获</w:t>
      </w:r>
      <w:r>
        <w:rPr>
          <w:rFonts w:hint="eastAsia" w:ascii="Times New Roman" w:eastAsia="黑体" w:cs="Times New Roman"/>
          <w:b/>
          <w:color w:val="auto"/>
        </w:rPr>
        <w:t>得等情况，资产支持证券的收益将受到影响</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2</w:t>
      </w:r>
      <w:r>
        <w:rPr>
          <w:rFonts w:hint="eastAsia" w:ascii="Times New Roman" w:eastAsia="黑体" w:cs="Times New Roman"/>
          <w:b/>
          <w:color w:val="auto"/>
          <w:lang w:eastAsia="zh-CN"/>
        </w:rPr>
        <w:t>）</w:t>
      </w:r>
      <w:r>
        <w:rPr>
          <w:rFonts w:hint="eastAsia" w:ascii="Times New Roman" w:eastAsia="黑体" w:cs="Times New Roman"/>
          <w:b/>
          <w:color w:val="auto"/>
        </w:rPr>
        <w:t>资产支持证券的流动性较低，可能影响投资者收益，甚至使产品</w:t>
      </w:r>
      <w:r>
        <w:rPr>
          <w:rFonts w:hint="eastAsia" w:ascii="Times New Roman" w:eastAsia="黑体" w:cs="Times New Roman"/>
          <w:b/>
          <w:color w:val="auto"/>
          <w:lang w:val="en-US" w:eastAsia="zh-CN"/>
        </w:rPr>
        <w:t>本金</w:t>
      </w:r>
      <w:r>
        <w:rPr>
          <w:rFonts w:hint="eastAsia" w:ascii="Times New Roman" w:eastAsia="黑体" w:cs="Times New Roman"/>
          <w:b/>
          <w:color w:val="auto"/>
        </w:rPr>
        <w:t xml:space="preserve">遭受损失。 </w:t>
      </w:r>
    </w:p>
    <w:p>
      <w:pPr>
        <w:pStyle w:val="22"/>
        <w:numPr>
          <w:ilvl w:val="0"/>
          <w:numId w:val="0"/>
        </w:numPr>
        <w:snapToGrid w:val="0"/>
        <w:spacing w:line="276" w:lineRule="auto"/>
        <w:ind w:firstLine="0" w:firstLineChars="0"/>
        <w:contextualSpacing/>
        <w:jc w:val="both"/>
        <w:rPr>
          <w:rFonts w:hint="eastAsia" w:ascii="Times New Roman" w:eastAsia="黑体" w:cs="Times New Roman"/>
          <w:b/>
          <w:color w:val="auto"/>
          <w:lang w:val="en-US" w:eastAsia="zh-CN"/>
        </w:rPr>
      </w:pPr>
      <w:r>
        <w:rPr>
          <w:rFonts w:hint="eastAsia" w:ascii="Times New Roman" w:eastAsia="黑体" w:cs="Times New Roman"/>
          <w:b/>
          <w:color w:val="auto"/>
          <w:lang w:val="en-US" w:eastAsia="zh-CN"/>
        </w:rPr>
        <w:t xml:space="preserve">    3.投资于存款类资产的可能风险：本产品拟投资的存款类资产在极端情况下可能面临被拒绝支取、因提前支取而被收取罚息等费用的风险，从而影响投资者收益，甚至使本产品本金遭受损失。</w:t>
      </w:r>
    </w:p>
    <w:p>
      <w:pPr>
        <w:pStyle w:val="22"/>
        <w:numPr>
          <w:ilvl w:val="0"/>
          <w:numId w:val="0"/>
        </w:numPr>
        <w:snapToGrid w:val="0"/>
        <w:spacing w:line="276" w:lineRule="auto"/>
        <w:ind w:firstLine="0" w:firstLineChars="0"/>
        <w:contextualSpacing/>
        <w:jc w:val="both"/>
        <w:rPr>
          <w:rFonts w:hint="eastAsia" w:ascii="Times New Roman" w:eastAsia="黑体" w:cs="Times New Roman"/>
          <w:b/>
          <w:color w:val="auto"/>
          <w:lang w:val="en-US" w:eastAsia="zh-CN"/>
        </w:rPr>
      </w:pPr>
      <w:r>
        <w:rPr>
          <w:rFonts w:hint="eastAsia" w:ascii="Times New Roman" w:eastAsia="黑体" w:cs="Times New Roman"/>
          <w:b/>
          <w:color w:val="auto"/>
          <w:lang w:val="en-US" w:eastAsia="zh-CN"/>
        </w:rPr>
        <w:t xml:space="preserve">    4.</w:t>
      </w:r>
      <w:r>
        <w:rPr>
          <w:rFonts w:hint="eastAsia" w:ascii="Times New Roman" w:eastAsia="黑体" w:cs="Times New Roman"/>
          <w:b/>
          <w:color w:val="auto"/>
        </w:rPr>
        <w:t>投资于结构性存款的</w:t>
      </w:r>
      <w:r>
        <w:rPr>
          <w:rFonts w:hint="eastAsia" w:ascii="Times New Roman" w:eastAsia="黑体" w:cs="Times New Roman"/>
          <w:b/>
          <w:color w:val="auto"/>
          <w:lang w:val="en-US" w:eastAsia="zh-CN"/>
        </w:rPr>
        <w:t>可能</w:t>
      </w:r>
      <w:r>
        <w:rPr>
          <w:rFonts w:hint="eastAsia" w:ascii="Times New Roman" w:eastAsia="黑体" w:cs="Times New Roman"/>
          <w:b/>
          <w:color w:val="auto"/>
        </w:rPr>
        <w:t>风险</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1</w:t>
      </w:r>
      <w:r>
        <w:rPr>
          <w:rFonts w:hint="eastAsia" w:ascii="Times New Roman" w:eastAsia="黑体" w:cs="Times New Roman"/>
          <w:b/>
          <w:color w:val="auto"/>
          <w:lang w:eastAsia="zh-CN"/>
        </w:rPr>
        <w:t>）</w:t>
      </w:r>
      <w:r>
        <w:rPr>
          <w:rFonts w:hint="eastAsia" w:ascii="Times New Roman" w:eastAsia="黑体" w:cs="Times New Roman"/>
          <w:b/>
          <w:color w:val="auto"/>
        </w:rPr>
        <w:t xml:space="preserve"> 市场风险。结构性存款挂钩的境内外债券、股票、利率、汇率、指数等标的受相关国家或地区的金融市场和经济趋势的影响，收益存在不确定性。</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2</w:t>
      </w:r>
      <w:r>
        <w:rPr>
          <w:rFonts w:hint="eastAsia" w:ascii="Times New Roman" w:eastAsia="黑体" w:cs="Times New Roman"/>
          <w:b/>
          <w:color w:val="auto"/>
          <w:lang w:eastAsia="zh-CN"/>
        </w:rPr>
        <w:t>）</w:t>
      </w:r>
      <w:r>
        <w:rPr>
          <w:rFonts w:hint="eastAsia" w:ascii="Times New Roman" w:eastAsia="黑体" w:cs="Times New Roman"/>
          <w:b/>
          <w:color w:val="auto"/>
        </w:rPr>
        <w:t>信用风险。结构性存款</w:t>
      </w:r>
      <w:r>
        <w:rPr>
          <w:rFonts w:hint="eastAsia" w:ascii="Times New Roman" w:eastAsia="黑体" w:cs="Times New Roman"/>
          <w:b/>
          <w:color w:val="auto"/>
          <w:lang w:val="en-US" w:eastAsia="zh-CN"/>
        </w:rPr>
        <w:t>可能</w:t>
      </w:r>
      <w:r>
        <w:rPr>
          <w:rFonts w:hint="eastAsia" w:ascii="Times New Roman" w:eastAsia="黑体" w:cs="Times New Roman"/>
          <w:b/>
          <w:color w:val="auto"/>
        </w:rPr>
        <w:t>面临交易对手银行无力偿付或未履行该结构性存款相关义务（含支付义务）的风险</w:t>
      </w:r>
      <w:r>
        <w:rPr>
          <w:rFonts w:hint="eastAsia" w:ascii="Times New Roman" w:eastAsia="黑体" w:cs="Times New Roman"/>
          <w:b/>
          <w:color w:val="auto"/>
          <w:lang w:eastAsia="zh-CN"/>
        </w:rPr>
        <w:t>，</w:t>
      </w:r>
      <w:r>
        <w:rPr>
          <w:rFonts w:hint="eastAsia" w:ascii="Times New Roman" w:eastAsia="黑体" w:cs="Times New Roman"/>
          <w:b/>
          <w:color w:val="auto"/>
        </w:rPr>
        <w:t>同时结构性存款挂钩的标的如果出现信用违约，结构性存款的本金与收益也会受到影响，在最不利的情况下可能损失全部本金。</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3</w:t>
      </w:r>
      <w:r>
        <w:rPr>
          <w:rFonts w:hint="eastAsia" w:ascii="Times New Roman" w:eastAsia="黑体" w:cs="Times New Roman"/>
          <w:b/>
          <w:color w:val="auto"/>
          <w:lang w:eastAsia="zh-CN"/>
        </w:rPr>
        <w:t>）</w:t>
      </w:r>
      <w:r>
        <w:rPr>
          <w:rFonts w:hint="eastAsia" w:ascii="Times New Roman" w:eastAsia="黑体" w:cs="Times New Roman"/>
          <w:b/>
          <w:color w:val="auto"/>
        </w:rPr>
        <w:t>利率风险。结构性存款如挂钩特定债券或债券指数，可能因相关利率变动而导致产品收益发生变化。</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4</w:t>
      </w:r>
      <w:r>
        <w:rPr>
          <w:rFonts w:hint="eastAsia" w:ascii="Times New Roman" w:eastAsia="黑体" w:cs="Times New Roman"/>
          <w:b/>
          <w:color w:val="auto"/>
          <w:lang w:eastAsia="zh-CN"/>
        </w:rPr>
        <w:t>）</w:t>
      </w:r>
      <w:r>
        <w:rPr>
          <w:rFonts w:hint="eastAsia" w:ascii="Times New Roman" w:eastAsia="黑体" w:cs="Times New Roman"/>
          <w:b/>
          <w:color w:val="auto"/>
        </w:rPr>
        <w:t>汇率风险。结构性存款如挂钩境外证券资产，可能面临以非人民币计价的各类资产受汇率波动影响而引起人民币估值下的理财产品资产净值波动的风险。</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5</w:t>
      </w:r>
      <w:r>
        <w:rPr>
          <w:rFonts w:hint="eastAsia" w:ascii="Times New Roman" w:eastAsia="黑体" w:cs="Times New Roman"/>
          <w:b/>
          <w:color w:val="auto"/>
          <w:lang w:eastAsia="zh-CN"/>
        </w:rPr>
        <w:t>）</w:t>
      </w:r>
      <w:r>
        <w:rPr>
          <w:rFonts w:hint="eastAsia" w:ascii="Times New Roman" w:eastAsia="黑体" w:cs="Times New Roman"/>
          <w:b/>
          <w:color w:val="auto"/>
        </w:rPr>
        <w:t>衍生品投资风险。结构性存款所嵌入的金融衍生工具，可能存在</w:t>
      </w:r>
      <w:r>
        <w:rPr>
          <w:rFonts w:hint="eastAsia" w:ascii="Times New Roman" w:eastAsia="黑体" w:cs="Times New Roman"/>
          <w:b/>
          <w:color w:val="auto"/>
          <w:lang w:val="en-US" w:eastAsia="zh-CN"/>
        </w:rPr>
        <w:t>杠杆</w:t>
      </w:r>
      <w:r>
        <w:rPr>
          <w:rFonts w:hint="eastAsia" w:ascii="Times New Roman" w:eastAsia="黑体" w:cs="Times New Roman"/>
          <w:b/>
          <w:color w:val="auto"/>
        </w:rPr>
        <w:t>风险、操作风险、交易对手的信用风险、衍生品价格与其基础品种的相关度变化带来的风险等。</w:t>
      </w:r>
      <w:r>
        <w:rPr>
          <w:rFonts w:hint="eastAsia" w:ascii="Times New Roman" w:eastAsia="黑体" w:cs="Times New Roman"/>
          <w:b/>
          <w:color w:val="auto"/>
          <w:lang w:val="en-US" w:eastAsia="zh-CN"/>
        </w:rPr>
        <w:t>以上风险事项若发现，可能</w:t>
      </w:r>
      <w:r>
        <w:rPr>
          <w:rFonts w:hint="eastAsia" w:ascii="Times New Roman" w:eastAsia="黑体" w:cs="Times New Roman"/>
          <w:b/>
          <w:color w:val="auto"/>
        </w:rPr>
        <w:t>可能影响投资者收益，甚至使产品</w:t>
      </w:r>
      <w:r>
        <w:rPr>
          <w:rFonts w:hint="eastAsia" w:ascii="Times New Roman" w:eastAsia="黑体" w:cs="Times New Roman"/>
          <w:b/>
          <w:color w:val="auto"/>
          <w:lang w:val="en-US" w:eastAsia="zh-CN"/>
        </w:rPr>
        <w:t>本金</w:t>
      </w:r>
      <w:r>
        <w:rPr>
          <w:rFonts w:hint="eastAsia" w:ascii="Times New Roman" w:eastAsia="黑体" w:cs="Times New Roman"/>
          <w:b/>
          <w:color w:val="auto"/>
        </w:rPr>
        <w:t xml:space="preserve">遭受损失。 </w:t>
      </w:r>
    </w:p>
    <w:p>
      <w:pPr>
        <w:pStyle w:val="22"/>
        <w:numPr>
          <w:ilvl w:val="0"/>
          <w:numId w:val="0"/>
        </w:numPr>
        <w:snapToGrid w:val="0"/>
        <w:spacing w:line="276" w:lineRule="auto"/>
        <w:ind w:firstLine="0" w:firstLineChars="0"/>
        <w:contextualSpacing/>
        <w:jc w:val="both"/>
        <w:rPr>
          <w:rFonts w:hint="eastAsia" w:ascii="Times New Roman" w:eastAsia="黑体" w:cs="Times New Roman"/>
          <w:b/>
        </w:rPr>
      </w:pPr>
      <w:r>
        <w:rPr>
          <w:rFonts w:hint="eastAsia" w:ascii="Times New Roman" w:eastAsia="黑体" w:cs="Times New Roman"/>
          <w:b/>
          <w:color w:val="auto"/>
          <w:lang w:val="en-US" w:eastAsia="zh-CN"/>
        </w:rPr>
        <w:t xml:space="preserve">    5.投资于公募基金、信托计划、资产管理计划等资产管理产品的可能风险：由于管理人（包括本理财产品、所投资的公募基金、信托计划、资产管理计划等资产管理产品的受托人、资产管理人、相关投资顾问）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22"/>
        <w:numPr>
          <w:ilvl w:val="0"/>
          <w:numId w:val="0"/>
        </w:numPr>
        <w:snapToGrid w:val="0"/>
        <w:spacing w:line="276" w:lineRule="auto"/>
        <w:ind w:firstLine="0" w:firstLineChars="0"/>
        <w:contextualSpacing/>
        <w:jc w:val="both"/>
        <w:rPr>
          <w:rFonts w:hint="eastAsia" w:ascii="Times New Roman" w:eastAsia="黑体" w:cs="Times New Roman"/>
          <w:b/>
        </w:rPr>
      </w:pP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pStyle w:val="22"/>
        <w:snapToGrid w:val="0"/>
        <w:spacing w:line="276" w:lineRule="auto"/>
        <w:ind w:firstLine="480" w:firstLineChars="200"/>
        <w:contextualSpacing/>
        <w:outlineLvl w:val="1"/>
        <w:rPr>
          <w:rFonts w:ascii="仿宋" w:hAnsi="仿宋" w:eastAsia="仿宋"/>
        </w:rPr>
      </w:pPr>
      <w:r>
        <w:rPr>
          <w:rFonts w:ascii="仿宋" w:hAnsi="仿宋" w:eastAsia="仿宋"/>
        </w:rPr>
        <w:t>（</w:t>
      </w:r>
      <w:r>
        <w:rPr>
          <w:rFonts w:hint="eastAsia" w:ascii="仿宋" w:hAnsi="仿宋" w:eastAsia="仿宋"/>
        </w:rPr>
        <w:t>一</w:t>
      </w:r>
      <w:r>
        <w:rPr>
          <w:rFonts w:ascii="仿宋" w:hAnsi="仿宋" w:eastAsia="仿宋"/>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color w:val="000000"/>
          <w:kern w:val="0"/>
          <w:sz w:val="24"/>
        </w:rPr>
        <w:t>1.</w:t>
      </w:r>
      <w:r>
        <w:rPr>
          <w:rFonts w:ascii="仿宋" w:hAnsi="仿宋" w:eastAsia="仿宋" w:cs="宋体"/>
          <w:b/>
          <w:color w:val="000000"/>
          <w:kern w:val="0"/>
          <w:sz w:val="24"/>
        </w:rPr>
        <w:t>华夏</w:t>
      </w:r>
      <w:r>
        <w:rPr>
          <w:rFonts w:hint="eastAsia" w:ascii="仿宋" w:hAnsi="仿宋" w:eastAsia="仿宋" w:cs="宋体"/>
          <w:b/>
          <w:color w:val="000000"/>
          <w:kern w:val="0"/>
          <w:sz w:val="24"/>
        </w:rPr>
        <w:t>理财</w:t>
      </w:r>
      <w:r>
        <w:rPr>
          <w:rFonts w:ascii="仿宋" w:hAnsi="仿宋" w:eastAsia="仿宋" w:cs="宋体"/>
          <w:b/>
          <w:color w:val="000000"/>
          <w:kern w:val="0"/>
          <w:sz w:val="24"/>
        </w:rPr>
        <w:t>将按照法律法规及监管</w:t>
      </w:r>
      <w:r>
        <w:rPr>
          <w:rFonts w:hint="eastAsia" w:ascii="仿宋" w:hAnsi="仿宋" w:eastAsia="仿宋" w:cs="宋体"/>
          <w:b/>
          <w:color w:val="000000"/>
          <w:kern w:val="0"/>
          <w:sz w:val="24"/>
        </w:rPr>
        <w:t>规定</w:t>
      </w:r>
      <w:r>
        <w:rPr>
          <w:rFonts w:ascii="仿宋" w:hAnsi="仿宋" w:eastAsia="仿宋" w:cs="宋体"/>
          <w:b/>
          <w:color w:val="000000"/>
          <w:kern w:val="0"/>
          <w:sz w:val="24"/>
        </w:rPr>
        <w:t>的要求</w:t>
      </w:r>
      <w:r>
        <w:rPr>
          <w:rFonts w:hint="eastAsia" w:ascii="仿宋" w:hAnsi="仿宋" w:eastAsia="仿宋" w:cs="宋体"/>
          <w:b/>
          <w:color w:val="000000"/>
          <w:kern w:val="0"/>
          <w:sz w:val="24"/>
        </w:rPr>
        <w:t>披露本理财产品信息，披露事项包括理财产品成立、不成立、净值、收益分配、到期、提前终止、调整等内容。</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ascii="仿宋" w:hAnsi="仿宋" w:eastAsia="仿宋" w:cs="宋体"/>
          <w:color w:val="000000"/>
          <w:kern w:val="0"/>
          <w:sz w:val="24"/>
        </w:rPr>
        <w:t>在</w:t>
      </w:r>
      <w:r>
        <w:rPr>
          <w:rFonts w:hint="eastAsia" w:ascii="仿宋" w:hAnsi="仿宋" w:eastAsia="仿宋" w:cs="宋体"/>
          <w:color w:val="000000"/>
          <w:kern w:val="0"/>
          <w:sz w:val="24"/>
        </w:rPr>
        <w:t>理财</w:t>
      </w:r>
      <w:r>
        <w:rPr>
          <w:rFonts w:ascii="仿宋" w:hAnsi="仿宋" w:eastAsia="仿宋" w:cs="宋体"/>
          <w:color w:val="000000"/>
          <w:kern w:val="0"/>
          <w:sz w:val="24"/>
        </w:rPr>
        <w:t>产品不成立时，华夏</w:t>
      </w:r>
      <w:r>
        <w:rPr>
          <w:rFonts w:hint="eastAsia" w:ascii="仿宋" w:hAnsi="仿宋" w:eastAsia="仿宋" w:cs="宋体"/>
          <w:color w:val="000000"/>
          <w:kern w:val="0"/>
          <w:sz w:val="24"/>
        </w:rPr>
        <w:t>理财</w:t>
      </w:r>
      <w:r>
        <w:rPr>
          <w:rFonts w:ascii="仿宋" w:hAnsi="仿宋" w:eastAsia="仿宋" w:cs="宋体"/>
          <w:color w:val="000000"/>
          <w:kern w:val="0"/>
          <w:sz w:val="24"/>
        </w:rPr>
        <w:t>将在原定成立日后2个工作日内发布产品不成立</w:t>
      </w:r>
      <w:r>
        <w:rPr>
          <w:rFonts w:hint="eastAsia" w:ascii="仿宋" w:hAnsi="仿宋" w:eastAsia="仿宋" w:cs="宋体"/>
          <w:color w:val="000000"/>
          <w:kern w:val="0"/>
          <w:sz w:val="24"/>
        </w:rPr>
        <w:t>公告</w:t>
      </w:r>
      <w:r>
        <w:rPr>
          <w:rFonts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w:t>
      </w:r>
      <w:r>
        <w:rPr>
          <w:rFonts w:ascii="仿宋" w:hAnsi="仿宋" w:eastAsia="仿宋" w:cs="宋体"/>
          <w:color w:val="000000"/>
          <w:kern w:val="0"/>
          <w:sz w:val="24"/>
        </w:rPr>
        <w:t>本理财产品成立后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w:t>
      </w:r>
      <w:r>
        <w:rPr>
          <w:rFonts w:hint="eastAsia" w:ascii="仿宋" w:hAnsi="仿宋" w:eastAsia="仿宋" w:cs="宋体"/>
          <w:color w:val="000000"/>
          <w:kern w:val="0"/>
          <w:sz w:val="24"/>
        </w:rPr>
        <w:t>成立公</w:t>
      </w:r>
      <w:r>
        <w:rPr>
          <w:rFonts w:ascii="仿宋" w:hAnsi="仿宋" w:eastAsia="仿宋" w:cs="宋体"/>
          <w:color w:val="000000"/>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.华夏理财在每个季度结束之日起15个工作日内、上半年结束之日起60个工作日内、每年结束之日起90个工作日内，编制完成本理财产品的季度、半年和年度报告，成立不足90个工作日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6</w:t>
      </w:r>
      <w:r>
        <w:rPr>
          <w:rFonts w:hint="eastAsia" w:ascii="仿宋" w:hAnsi="仿宋" w:eastAsia="仿宋" w:cs="宋体"/>
          <w:color w:val="000000"/>
          <w:kern w:val="0"/>
          <w:sz w:val="24"/>
        </w:rPr>
        <w:t>.</w:t>
      </w:r>
      <w:r>
        <w:rPr>
          <w:rFonts w:ascii="仿宋" w:hAnsi="仿宋" w:eastAsia="仿宋" w:cs="宋体"/>
          <w:color w:val="000000"/>
          <w:kern w:val="0"/>
          <w:sz w:val="24"/>
        </w:rPr>
        <w:t>如</w:t>
      </w:r>
      <w:r>
        <w:rPr>
          <w:rFonts w:hint="eastAsia" w:ascii="仿宋" w:hAnsi="仿宋" w:eastAsia="仿宋" w:cs="宋体"/>
          <w:color w:val="000000"/>
          <w:kern w:val="0"/>
          <w:sz w:val="24"/>
        </w:rPr>
        <w:t>华夏理财</w:t>
      </w:r>
      <w:r>
        <w:rPr>
          <w:rFonts w:ascii="仿宋" w:hAnsi="仿宋" w:eastAsia="仿宋" w:cs="宋体"/>
          <w:color w:val="000000"/>
          <w:kern w:val="0"/>
          <w:sz w:val="24"/>
        </w:rPr>
        <w:t>决定</w:t>
      </w:r>
      <w:r>
        <w:rPr>
          <w:rFonts w:hint="eastAsia" w:ascii="仿宋" w:hAnsi="仿宋" w:eastAsia="仿宋" w:cs="宋体"/>
          <w:color w:val="000000"/>
          <w:kern w:val="0"/>
          <w:sz w:val="24"/>
        </w:rPr>
        <w:t>提前</w:t>
      </w:r>
      <w:r>
        <w:rPr>
          <w:rFonts w:ascii="仿宋" w:hAnsi="仿宋" w:eastAsia="仿宋" w:cs="宋体"/>
          <w:color w:val="000000"/>
          <w:kern w:val="0"/>
          <w:sz w:val="24"/>
        </w:rPr>
        <w:t>终止本理财产品，将于</w:t>
      </w:r>
      <w:r>
        <w:rPr>
          <w:rFonts w:hint="eastAsia" w:ascii="仿宋" w:hAnsi="仿宋" w:eastAsia="仿宋" w:cs="宋体"/>
          <w:color w:val="000000"/>
          <w:kern w:val="0"/>
          <w:sz w:val="24"/>
        </w:rPr>
        <w:t>提前</w:t>
      </w:r>
      <w:r>
        <w:rPr>
          <w:rFonts w:ascii="仿宋" w:hAnsi="仿宋" w:eastAsia="仿宋" w:cs="宋体"/>
          <w:color w:val="000000"/>
          <w:kern w:val="0"/>
          <w:sz w:val="24"/>
        </w:rPr>
        <w:t>终止日的前3个工作日</w:t>
      </w:r>
      <w:r>
        <w:rPr>
          <w:rFonts w:hint="eastAsia" w:ascii="仿宋" w:hAnsi="仿宋" w:eastAsia="仿宋" w:cs="宋体"/>
          <w:color w:val="000000"/>
          <w:kern w:val="0"/>
          <w:sz w:val="24"/>
        </w:rPr>
        <w:t>通过本产品说明书约定的信息披露渠道发布相关公告</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w:t>
      </w:r>
      <w:r>
        <w:rPr>
          <w:rFonts w:ascii="仿宋" w:hAnsi="仿宋" w:eastAsia="仿宋" w:cs="宋体"/>
          <w:color w:val="000000"/>
          <w:kern w:val="0"/>
          <w:sz w:val="24"/>
        </w:rPr>
        <w:t>产品</w:t>
      </w:r>
      <w:r>
        <w:rPr>
          <w:rFonts w:hint="eastAsia" w:ascii="仿宋" w:hAnsi="仿宋" w:eastAsia="仿宋" w:cs="宋体"/>
          <w:color w:val="000000"/>
          <w:kern w:val="0"/>
          <w:sz w:val="24"/>
        </w:rPr>
        <w:t>到期/</w:t>
      </w:r>
      <w:r>
        <w:rPr>
          <w:rFonts w:ascii="仿宋" w:hAnsi="仿宋" w:eastAsia="仿宋" w:cs="宋体"/>
          <w:color w:val="000000"/>
          <w:kern w:val="0"/>
          <w:sz w:val="24"/>
        </w:rPr>
        <w:t>终止后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将发布产品到期</w:t>
      </w:r>
      <w:r>
        <w:rPr>
          <w:rFonts w:hint="eastAsia" w:ascii="仿宋" w:hAnsi="仿宋" w:eastAsia="仿宋" w:cs="宋体"/>
          <w:color w:val="000000"/>
          <w:kern w:val="0"/>
          <w:sz w:val="24"/>
        </w:rPr>
        <w:t>/终止</w:t>
      </w:r>
      <w:r>
        <w:rPr>
          <w:rFonts w:ascii="仿宋" w:hAnsi="仿宋" w:eastAsia="仿宋" w:cs="宋体"/>
          <w:color w:val="000000"/>
          <w:kern w:val="0"/>
          <w:sz w:val="24"/>
        </w:rPr>
        <w:t>报告。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w:t>
      </w:r>
      <w:r>
        <w:rPr>
          <w:rFonts w:ascii="仿宋" w:hAnsi="仿宋" w:eastAsia="仿宋" w:cs="宋体"/>
          <w:kern w:val="0"/>
          <w:sz w:val="24"/>
        </w:rPr>
        <w:t>约定披露产品净值</w:t>
      </w:r>
      <w:r>
        <w:rPr>
          <w:rFonts w:hint="eastAsia" w:ascii="仿宋" w:hAnsi="仿宋" w:eastAsia="仿宋" w:cs="宋体"/>
          <w:kern w:val="0"/>
          <w:sz w:val="24"/>
        </w:rPr>
        <w:t>。</w:t>
      </w:r>
    </w:p>
    <w:p>
      <w:pPr>
        <w:pStyle w:val="22"/>
        <w:snapToGrid w:val="0"/>
        <w:spacing w:line="276" w:lineRule="auto"/>
        <w:ind w:firstLine="480" w:firstLineChars="200"/>
        <w:contextualSpacing/>
        <w:outlineLvl w:val="1"/>
        <w:rPr>
          <w:rFonts w:ascii="仿宋" w:hAnsi="仿宋" w:eastAsia="仿宋"/>
        </w:rPr>
      </w:pPr>
      <w:r>
        <w:rPr>
          <w:rFonts w:ascii="仿宋" w:hAnsi="仿宋" w:eastAsia="仿宋"/>
        </w:rPr>
        <w:t>（二）理财产品临时</w:t>
      </w:r>
      <w:r>
        <w:rPr>
          <w:rFonts w:hint="eastAsia" w:ascii="仿宋" w:hAnsi="仿宋" w:eastAsia="仿宋"/>
        </w:rPr>
        <w:t>性</w:t>
      </w:r>
      <w:r>
        <w:rPr>
          <w:rFonts w:ascii="仿宋" w:hAnsi="仿宋" w:eastAsia="仿宋"/>
        </w:rPr>
        <w:t>信息披露</w:t>
      </w:r>
      <w:r>
        <w:rPr>
          <w:rFonts w:hint="eastAsia" w:ascii="仿宋" w:hAnsi="仿宋" w:eastAsia="仿宋"/>
        </w:rPr>
        <w:t>及重大事项公告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根据监管规定及业务需要，管理人可进行临时信息披露，涉及事项包括但不限于：管理人、托管人发生变更、</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ascii="仿宋" w:hAnsi="仿宋" w:eastAsia="仿宋" w:cs="宋体"/>
          <w:color w:val="000000"/>
          <w:kern w:val="0"/>
          <w:sz w:val="24"/>
        </w:rPr>
        <w:t>本理财产品存续期间如发生华夏</w:t>
      </w:r>
      <w:r>
        <w:rPr>
          <w:rFonts w:hint="eastAsia" w:ascii="仿宋" w:hAnsi="仿宋" w:eastAsia="仿宋" w:cs="宋体"/>
          <w:color w:val="000000"/>
          <w:kern w:val="0"/>
          <w:sz w:val="24"/>
        </w:rPr>
        <w:t>理财</w:t>
      </w:r>
      <w:r>
        <w:rPr>
          <w:rFonts w:ascii="仿宋" w:hAnsi="仿宋" w:eastAsia="仿宋" w:cs="宋体"/>
          <w:color w:val="000000"/>
          <w:kern w:val="0"/>
          <w:sz w:val="24"/>
        </w:rPr>
        <w:t>认为可能影响产品正常运作的重大不利事项时，包括但不限于市场发生重大变化、投资的资产质量发生重大变化或者其它可能对投资者权益产生重大影响的突发事件时，华夏</w:t>
      </w:r>
      <w:r>
        <w:rPr>
          <w:rFonts w:hint="eastAsia" w:ascii="仿宋" w:hAnsi="仿宋" w:eastAsia="仿宋" w:cs="宋体"/>
          <w:color w:val="000000"/>
          <w:kern w:val="0"/>
          <w:sz w:val="24"/>
        </w:rPr>
        <w:t>理财将在事项发生后</w:t>
      </w:r>
      <w:r>
        <w:rPr>
          <w:rFonts w:ascii="仿宋" w:hAnsi="仿宋" w:eastAsia="仿宋" w:cs="宋体"/>
          <w:color w:val="000000"/>
          <w:kern w:val="0"/>
          <w:sz w:val="24"/>
        </w:rPr>
        <w:t>2</w:t>
      </w:r>
      <w:r>
        <w:rPr>
          <w:rFonts w:hint="eastAsia" w:ascii="仿宋" w:hAnsi="仿宋" w:eastAsia="仿宋" w:cs="宋体"/>
          <w:color w:val="000000"/>
          <w:kern w:val="0"/>
          <w:sz w:val="24"/>
        </w:rPr>
        <w:t>个</w:t>
      </w:r>
      <w:r>
        <w:rPr>
          <w:rFonts w:ascii="仿宋" w:hAnsi="仿宋" w:eastAsia="仿宋" w:cs="宋体"/>
          <w:color w:val="000000"/>
          <w:kern w:val="0"/>
          <w:sz w:val="24"/>
        </w:rPr>
        <w:t>工作</w:t>
      </w:r>
      <w:r>
        <w:rPr>
          <w:rFonts w:hint="eastAsia" w:ascii="仿宋" w:hAnsi="仿宋" w:eastAsia="仿宋" w:cs="宋体"/>
          <w:color w:val="000000"/>
          <w:kern w:val="0"/>
          <w:sz w:val="24"/>
        </w:rPr>
        <w:t>日内通过本产品说明书约定的信息披露渠道予以披露</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w:t>
      </w:r>
      <w:r>
        <w:rPr>
          <w:rFonts w:ascii="仿宋" w:hAnsi="仿宋" w:eastAsia="仿宋" w:cs="宋体"/>
          <w:color w:val="000000"/>
          <w:kern w:val="0"/>
          <w:sz w:val="24"/>
        </w:rPr>
        <w:t>将于</w:t>
      </w:r>
      <w:r>
        <w:rPr>
          <w:rFonts w:hint="eastAsia" w:ascii="仿宋" w:hAnsi="仿宋" w:eastAsia="仿宋" w:cs="宋体"/>
          <w:color w:val="000000"/>
          <w:kern w:val="0"/>
          <w:sz w:val="24"/>
        </w:rPr>
        <w:t>上述调整生效</w:t>
      </w:r>
      <w:r>
        <w:rPr>
          <w:rFonts w:ascii="仿宋" w:hAnsi="仿宋" w:eastAsia="仿宋" w:cs="宋体"/>
          <w:color w:val="000000"/>
          <w:kern w:val="0"/>
          <w:sz w:val="24"/>
        </w:rPr>
        <w:t>日的前3个工作日</w:t>
      </w:r>
      <w:r>
        <w:rPr>
          <w:rFonts w:hint="eastAsia" w:ascii="仿宋" w:hAnsi="仿宋" w:eastAsia="仿宋" w:cs="宋体"/>
          <w:kern w:val="0"/>
          <w:sz w:val="24"/>
        </w:rPr>
        <w:t>通过</w:t>
      </w:r>
      <w:r>
        <w:rPr>
          <w:rFonts w:hint="eastAsia" w:ascii="仿宋" w:hAnsi="仿宋" w:eastAsia="仿宋" w:cs="宋体"/>
          <w:color w:val="000000"/>
          <w:kern w:val="0"/>
          <w:sz w:val="24"/>
        </w:rPr>
        <w:t>本产品说明书约定的</w:t>
      </w:r>
      <w:r>
        <w:rPr>
          <w:rFonts w:hint="eastAsia" w:ascii="仿宋" w:hAnsi="仿宋" w:eastAsia="仿宋" w:cs="宋体"/>
          <w:kern w:val="0"/>
          <w:sz w:val="24"/>
        </w:rPr>
        <w:t>信息披露</w:t>
      </w:r>
      <w:r>
        <w:rPr>
          <w:rFonts w:hint="eastAsia" w:ascii="仿宋" w:hAnsi="仿宋" w:eastAsia="仿宋" w:cs="宋体"/>
          <w:color w:val="000000"/>
          <w:kern w:val="0"/>
          <w:sz w:val="24"/>
        </w:rPr>
        <w:t>渠道予以公告</w:t>
      </w:r>
      <w:r>
        <w:rPr>
          <w:rFonts w:hint="eastAsia" w:ascii="仿宋" w:hAnsi="仿宋" w:eastAsia="仿宋" w:cs="宋体"/>
          <w:kern w:val="0"/>
          <w:sz w:val="24"/>
        </w:rPr>
        <w:t>；其中，对于华夏理财增加费用名目、提高收费标准等对投资者利益产生实质不利影响的情形，投资者如不接受，可按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w:t>
      </w:r>
      <w:r>
        <w:rPr>
          <w:rFonts w:hint="eastAsia" w:ascii="仿宋" w:hAnsi="仿宋" w:eastAsia="仿宋" w:cs="宋体"/>
          <w:color w:val="000000"/>
          <w:kern w:val="0"/>
          <w:sz w:val="24"/>
        </w:rPr>
        <w:t>本产品说明书约定的</w:t>
      </w:r>
      <w:r>
        <w:rPr>
          <w:rFonts w:hint="eastAsia" w:ascii="仿宋" w:hAnsi="仿宋" w:eastAsia="仿宋" w:cs="宋体"/>
          <w:kern w:val="0"/>
          <w:sz w:val="24"/>
        </w:rPr>
        <w:t>信息披露</w:t>
      </w:r>
      <w:r>
        <w:rPr>
          <w:rFonts w:hint="eastAsia" w:ascii="仿宋" w:hAnsi="仿宋" w:eastAsia="仿宋" w:cs="宋体"/>
          <w:color w:val="000000"/>
          <w:kern w:val="0"/>
          <w:sz w:val="24"/>
        </w:rPr>
        <w:t>渠道予以公告</w:t>
      </w:r>
      <w:r>
        <w:rPr>
          <w:rFonts w:hint="eastAsia" w:ascii="仿宋" w:hAnsi="仿宋" w:eastAsia="仿宋" w:cs="宋体"/>
          <w:kern w:val="0"/>
          <w:sz w:val="24"/>
        </w:rPr>
        <w:t>。具体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在发生涉及理财产品认（申）购、赎回事项调整或潜在影响投资者赎回等事项时，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color w:val="000000"/>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rPr>
          <w:rFonts w:ascii="仿宋" w:hAnsi="仿宋" w:eastAsia="仿宋" w:cs="仿宋"/>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在运用收取短期赎回费、摆动定价等措施后，</w:t>
      </w:r>
      <w:r>
        <w:rPr>
          <w:rFonts w:hint="eastAsia" w:ascii="仿宋" w:hAnsi="仿宋" w:eastAsia="仿宋" w:cs="宋体"/>
          <w:kern w:val="0"/>
          <w:sz w:val="24"/>
        </w:rPr>
        <w:t>管理人将</w:t>
      </w:r>
      <w:r>
        <w:rPr>
          <w:rFonts w:hint="eastAsia" w:ascii="仿宋" w:hAnsi="仿宋" w:eastAsia="仿宋" w:cs="仿宋"/>
          <w:kern w:val="0"/>
          <w:sz w:val="24"/>
        </w:rPr>
        <w:t>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7．</w:t>
      </w:r>
      <w:r>
        <w:rPr>
          <w:rFonts w:hint="eastAsia" w:ascii="仿宋" w:hAnsi="仿宋" w:eastAsia="仿宋" w:cs="仿宋"/>
          <w:kern w:val="0"/>
          <w:sz w:val="24"/>
        </w:rPr>
        <w:t>在运用暂停认（申）购、延期办理巨额赎回申请、暂停接受赎回申请、延缓支付赎回款项、暂停理财产品估值等措施后，</w:t>
      </w:r>
      <w:r>
        <w:rPr>
          <w:rFonts w:hint="eastAsia"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pStyle w:val="22"/>
        <w:snapToGrid w:val="0"/>
        <w:spacing w:line="276" w:lineRule="auto"/>
        <w:ind w:firstLine="480" w:firstLineChars="200"/>
        <w:contextualSpacing/>
        <w:outlineLvl w:val="1"/>
        <w:rPr>
          <w:rFonts w:ascii="仿宋" w:hAnsi="仿宋" w:eastAsia="仿宋"/>
        </w:rPr>
      </w:pPr>
      <w:r>
        <w:rPr>
          <w:rFonts w:ascii="仿宋" w:hAnsi="仿宋" w:eastAsia="仿宋"/>
        </w:rPr>
        <w:t>（</w:t>
      </w:r>
      <w:r>
        <w:rPr>
          <w:rFonts w:hint="eastAsia" w:ascii="仿宋" w:hAnsi="仿宋" w:eastAsia="仿宋"/>
        </w:rPr>
        <w:t>三</w:t>
      </w:r>
      <w:r>
        <w:rPr>
          <w:rFonts w:ascii="仿宋" w:hAnsi="仿宋" w:eastAsia="仿宋"/>
        </w:rPr>
        <w:t>）</w:t>
      </w:r>
      <w:r>
        <w:rPr>
          <w:rFonts w:hint="eastAsia" w:ascii="仿宋" w:hAnsi="仿宋" w:eastAsia="仿宋"/>
        </w:rPr>
        <w:t>管理人</w:t>
      </w:r>
      <w:r>
        <w:rPr>
          <w:rFonts w:ascii="仿宋" w:hAnsi="仿宋" w:eastAsia="仿宋"/>
        </w:rPr>
        <w:t>信息披露</w:t>
      </w:r>
      <w:r>
        <w:rPr>
          <w:rFonts w:hint="eastAsia" w:ascii="仿宋" w:hAnsi="仿宋" w:eastAsia="仿宋"/>
        </w:rPr>
        <w:t>的方式</w:t>
      </w:r>
      <w:r>
        <w:rPr>
          <w:rFonts w:ascii="仿宋" w:hAnsi="仿宋" w:eastAsia="仿宋"/>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管理人将通过华夏理财有限责任公司官方网站（www.hxwm.com.cn）、代销</w:t>
      </w:r>
      <w:r>
        <w:rPr>
          <w:rFonts w:ascii="仿宋" w:hAnsi="仿宋" w:eastAsia="仿宋" w:cs="宋体"/>
          <w:b/>
          <w:kern w:val="0"/>
          <w:sz w:val="24"/>
        </w:rPr>
        <w:t>机构（如有）信息披露渠道</w:t>
      </w:r>
      <w:r>
        <w:rPr>
          <w:rFonts w:hint="eastAsia" w:ascii="仿宋" w:hAnsi="仿宋" w:eastAsia="仿宋" w:cs="宋体"/>
          <w:b/>
          <w:kern w:val="0"/>
          <w:sz w:val="24"/>
        </w:rPr>
        <w:t>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ascii="仿宋" w:hAnsi="仿宋" w:eastAsia="仿宋" w:cs="宋体"/>
          <w:b/>
          <w:kern w:val="0"/>
          <w:sz w:val="24"/>
        </w:rPr>
        <w:t>查询</w:t>
      </w:r>
      <w:r>
        <w:rPr>
          <w:rFonts w:hint="eastAsia" w:ascii="仿宋" w:hAnsi="仿宋" w:eastAsia="仿宋" w:cs="宋体"/>
          <w:kern w:val="0"/>
          <w:sz w:val="24"/>
        </w:rPr>
        <w:t>。</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（四）投资者关于信息披露的确认</w:t>
      </w:r>
    </w:p>
    <w:p>
      <w:pPr>
        <w:spacing w:after="156" w:afterLines="50" w:line="276" w:lineRule="auto"/>
        <w:ind w:firstLine="480"/>
        <w:contextualSpacing/>
        <w:rPr>
          <w:rFonts w:eastAsia="黑体"/>
          <w:b/>
        </w:rPr>
      </w:pPr>
      <w:r>
        <w:rPr>
          <w:rFonts w:hint="eastAsia" w:ascii="仿宋" w:hAnsi="仿宋" w:eastAsia="仿宋" w:cs="宋体"/>
          <w:kern w:val="0"/>
          <w:sz w:val="24"/>
        </w:rPr>
        <w:t>投资者确认并同意管理人可以通过上述方式披露理财</w:t>
      </w:r>
      <w:r>
        <w:rPr>
          <w:rFonts w:ascii="仿宋" w:hAnsi="仿宋" w:eastAsia="仿宋" w:cs="宋体"/>
          <w:kern w:val="0"/>
          <w:sz w:val="24"/>
        </w:rPr>
        <w:t>产品</w:t>
      </w:r>
      <w:r>
        <w:rPr>
          <w:rFonts w:hint="eastAsia" w:ascii="仿宋" w:hAnsi="仿宋" w:eastAsia="仿宋" w:cs="宋体"/>
          <w:kern w:val="0"/>
          <w:sz w:val="24"/>
        </w:rPr>
        <w:t>信息。投资者应及时、主动通过上述信息披露渠道浏览并阅读理财</w:t>
      </w:r>
      <w:r>
        <w:rPr>
          <w:rFonts w:ascii="仿宋" w:hAnsi="仿宋" w:eastAsia="仿宋" w:cs="宋体"/>
          <w:kern w:val="0"/>
          <w:sz w:val="24"/>
        </w:rPr>
        <w:t>产品</w:t>
      </w:r>
      <w:r>
        <w:rPr>
          <w:rFonts w:hint="eastAsia" w:ascii="仿宋" w:hAnsi="仿宋" w:eastAsia="仿宋" w:cs="宋体"/>
          <w:kern w:val="0"/>
          <w:sz w:val="24"/>
        </w:rPr>
        <w:t>信息及公告。</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黑体" w:hAnsi="黑体" w:eastAsia="黑体" w:cs="黑体"/>
          <w:b/>
          <w:bCs/>
          <w:color w:val="000000"/>
          <w:kern w:val="0"/>
          <w:sz w:val="24"/>
        </w:rPr>
      </w:pPr>
      <w:r>
        <w:rPr>
          <w:rFonts w:hint="eastAsia" w:ascii="黑体" w:hAnsi="黑体" w:eastAsia="黑体" w:cs="黑体"/>
          <w:b/>
          <w:bCs/>
          <w:color w:val="000000"/>
          <w:kern w:val="0"/>
          <w:sz w:val="24"/>
        </w:rPr>
        <w:t>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w:t>
      </w:r>
      <w:r>
        <w:rPr>
          <w:rFonts w:hint="eastAsia" w:ascii="黑体" w:hAnsi="黑体" w:eastAsia="黑体" w:cs="黑体"/>
          <w:b/>
          <w:bCs/>
          <w:kern w:val="0"/>
          <w:sz w:val="24"/>
        </w:rPr>
        <w:t>华夏理财有限责任公司官方网站（www.hxwm.com.cn）</w:t>
      </w:r>
      <w:r>
        <w:rPr>
          <w:rFonts w:hint="eastAsia" w:ascii="黑体" w:hAnsi="黑体" w:eastAsia="黑体" w:cs="黑体"/>
          <w:b/>
          <w:bCs/>
          <w:color w:val="000000"/>
          <w:kern w:val="0"/>
          <w:sz w:val="24"/>
        </w:rPr>
        <w:t>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。若投资者对本产品说明书的内容有任何疑问，请向华夏</w:t>
      </w:r>
      <w:r>
        <w:rPr>
          <w:rFonts w:hint="eastAsia" w:ascii="仿宋" w:hAnsi="仿宋" w:eastAsia="仿宋" w:cs="宋体"/>
          <w:color w:val="000000"/>
          <w:kern w:val="0"/>
          <w:sz w:val="24"/>
        </w:rPr>
        <w:t>理财/代销机构</w:t>
      </w:r>
      <w:r>
        <w:rPr>
          <w:rFonts w:ascii="仿宋" w:hAnsi="仿宋" w:eastAsia="仿宋" w:cs="宋体"/>
          <w:color w:val="000000"/>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w:t>
      </w:r>
      <w:r>
        <w:rPr>
          <w:rFonts w:hint="eastAsia" w:eastAsia="黑体"/>
          <w:b/>
          <w:bCs/>
          <w:sz w:val="24"/>
        </w:rPr>
        <w:t>相应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w:t>
      </w:r>
      <w:bookmarkStart w:id="3" w:name="_Hlk76384810"/>
      <w:r>
        <w:rPr>
          <w:rFonts w:hint="eastAsia" w:ascii="仿宋" w:hAnsi="仿宋" w:eastAsia="仿宋" w:cs="宋体"/>
          <w:kern w:val="0"/>
          <w:sz w:val="24"/>
        </w:rPr>
        <w:t>华夏理财/代销机构</w:t>
      </w:r>
      <w:bookmarkEnd w:id="3"/>
      <w:r>
        <w:rPr>
          <w:rFonts w:hint="eastAsia" w:ascii="仿宋" w:hAnsi="仿宋" w:eastAsia="仿宋" w:cs="宋体"/>
          <w:kern w:val="0"/>
          <w:sz w:val="24"/>
        </w:rPr>
        <w:t>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管理人：华夏理财有限责任公司 </w:t>
      </w: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pP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r>
        <w:rPr>
          <w:rFonts w:hint="eastAsia" w:ascii="仿宋" w:hAnsi="仿宋" w:eastAsia="仿宋" w:cs="宋体"/>
          <w:color w:val="000000"/>
          <w:kern w:val="0"/>
          <w:sz w:val="24"/>
        </w:rPr>
        <w:t xml:space="preserve">              </w:t>
      </w:r>
    </w:p>
    <w:sectPr>
      <w:headerReference r:id="rId5"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auto"/>
    <w:pitch w:val="default"/>
    <w:sig w:usb0="00000000" w:usb1="00000000" w:usb2="0000003F" w:usb3="00000000" w:csb0="003F01FF" w:csb1="00000000"/>
  </w:font>
  <w:font w:name="仿宋_GB2312">
    <w:altName w:val="仿宋"/>
    <w:panose1 w:val="02010609030101010101"/>
    <w:charset w:val="86"/>
    <w:family w:val="auto"/>
    <w:pitch w:val="default"/>
    <w:sig w:usb0="00000000" w:usb1="00000000" w:usb2="00000010" w:usb3="00000000" w:csb0="00040000" w:csb1="00000000"/>
  </w:font>
  <w:font w:name="微软简仿宋">
    <w:panose1 w:val="00000000000000000000"/>
    <w:charset w:val="86"/>
    <w:family w:val="auto"/>
    <w:pitch w:val="default"/>
    <w:sig w:usb0="00000000" w:usb1="00000000" w:usb2="00000000" w:usb3="00000000" w:csb0="00000000" w:csb1="00000000"/>
  </w:font>
  <w:font w:name="楷体_GB2312">
    <w:altName w:val="楷体"/>
    <w:panose1 w:val="02010609030101010101"/>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spacing w:line="360" w:lineRule="auto"/>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4E444ED"/>
    <w:multiLevelType w:val="singleLevel"/>
    <w:tmpl w:val="64E444ED"/>
    <w:lvl w:ilvl="0" w:tentative="0">
      <w:start w:val="15"/>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2DCA"/>
    <w:rsid w:val="0000532D"/>
    <w:rsid w:val="00020F81"/>
    <w:rsid w:val="0004783E"/>
    <w:rsid w:val="00063561"/>
    <w:rsid w:val="000713E1"/>
    <w:rsid w:val="000805E4"/>
    <w:rsid w:val="00081DE5"/>
    <w:rsid w:val="000A3C07"/>
    <w:rsid w:val="000B32CF"/>
    <w:rsid w:val="000D002A"/>
    <w:rsid w:val="000D7DE2"/>
    <w:rsid w:val="000E195A"/>
    <w:rsid w:val="000E7817"/>
    <w:rsid w:val="000F0804"/>
    <w:rsid w:val="00111D14"/>
    <w:rsid w:val="001260F4"/>
    <w:rsid w:val="001318D7"/>
    <w:rsid w:val="00141481"/>
    <w:rsid w:val="001423F3"/>
    <w:rsid w:val="00146323"/>
    <w:rsid w:val="00170760"/>
    <w:rsid w:val="00172A27"/>
    <w:rsid w:val="001B29E5"/>
    <w:rsid w:val="001E22CF"/>
    <w:rsid w:val="001E4307"/>
    <w:rsid w:val="00214B23"/>
    <w:rsid w:val="00227F2A"/>
    <w:rsid w:val="002655A5"/>
    <w:rsid w:val="002902A8"/>
    <w:rsid w:val="00294355"/>
    <w:rsid w:val="002A2967"/>
    <w:rsid w:val="002A2FEF"/>
    <w:rsid w:val="002D4464"/>
    <w:rsid w:val="002E7F9D"/>
    <w:rsid w:val="00311EF5"/>
    <w:rsid w:val="003126CB"/>
    <w:rsid w:val="00351C38"/>
    <w:rsid w:val="00365E5C"/>
    <w:rsid w:val="00377CFC"/>
    <w:rsid w:val="003923B3"/>
    <w:rsid w:val="003B2A65"/>
    <w:rsid w:val="003D55AF"/>
    <w:rsid w:val="003D65A8"/>
    <w:rsid w:val="003E4BEB"/>
    <w:rsid w:val="003E7186"/>
    <w:rsid w:val="003F4E18"/>
    <w:rsid w:val="003F6114"/>
    <w:rsid w:val="004021F4"/>
    <w:rsid w:val="004250EE"/>
    <w:rsid w:val="0044086D"/>
    <w:rsid w:val="00462536"/>
    <w:rsid w:val="004734C8"/>
    <w:rsid w:val="00473C5D"/>
    <w:rsid w:val="00494748"/>
    <w:rsid w:val="004B257E"/>
    <w:rsid w:val="004C4084"/>
    <w:rsid w:val="004E60FD"/>
    <w:rsid w:val="004E7D97"/>
    <w:rsid w:val="004F4E81"/>
    <w:rsid w:val="004F648F"/>
    <w:rsid w:val="005016FC"/>
    <w:rsid w:val="005114E6"/>
    <w:rsid w:val="00512B7C"/>
    <w:rsid w:val="005604F6"/>
    <w:rsid w:val="00560CC1"/>
    <w:rsid w:val="005727C8"/>
    <w:rsid w:val="005C08EC"/>
    <w:rsid w:val="005F66E4"/>
    <w:rsid w:val="00601E1F"/>
    <w:rsid w:val="006075D0"/>
    <w:rsid w:val="00613BD1"/>
    <w:rsid w:val="00650968"/>
    <w:rsid w:val="00656FE9"/>
    <w:rsid w:val="00667B5F"/>
    <w:rsid w:val="00670595"/>
    <w:rsid w:val="00677437"/>
    <w:rsid w:val="00681E3A"/>
    <w:rsid w:val="0068328B"/>
    <w:rsid w:val="006860DD"/>
    <w:rsid w:val="0069073D"/>
    <w:rsid w:val="00690B24"/>
    <w:rsid w:val="006915E0"/>
    <w:rsid w:val="006D3A14"/>
    <w:rsid w:val="006E0E9D"/>
    <w:rsid w:val="006E742E"/>
    <w:rsid w:val="006F119A"/>
    <w:rsid w:val="006F13D3"/>
    <w:rsid w:val="00712CC7"/>
    <w:rsid w:val="007311CA"/>
    <w:rsid w:val="00734D46"/>
    <w:rsid w:val="00755AE6"/>
    <w:rsid w:val="0076606B"/>
    <w:rsid w:val="00777429"/>
    <w:rsid w:val="007815CF"/>
    <w:rsid w:val="00792744"/>
    <w:rsid w:val="007F32C1"/>
    <w:rsid w:val="00807591"/>
    <w:rsid w:val="008277B6"/>
    <w:rsid w:val="008340D5"/>
    <w:rsid w:val="00836CF0"/>
    <w:rsid w:val="00843345"/>
    <w:rsid w:val="00846F1F"/>
    <w:rsid w:val="00852D93"/>
    <w:rsid w:val="00853602"/>
    <w:rsid w:val="00863612"/>
    <w:rsid w:val="008673E1"/>
    <w:rsid w:val="00887E73"/>
    <w:rsid w:val="008D19F3"/>
    <w:rsid w:val="008D5335"/>
    <w:rsid w:val="008D5F85"/>
    <w:rsid w:val="008E0C40"/>
    <w:rsid w:val="008E628E"/>
    <w:rsid w:val="008F6891"/>
    <w:rsid w:val="00902123"/>
    <w:rsid w:val="00916782"/>
    <w:rsid w:val="00930217"/>
    <w:rsid w:val="00971A91"/>
    <w:rsid w:val="00972105"/>
    <w:rsid w:val="00985740"/>
    <w:rsid w:val="00991FA8"/>
    <w:rsid w:val="009A3572"/>
    <w:rsid w:val="009C0A85"/>
    <w:rsid w:val="009C4B76"/>
    <w:rsid w:val="009C5840"/>
    <w:rsid w:val="009E3137"/>
    <w:rsid w:val="009E6D89"/>
    <w:rsid w:val="009F0D25"/>
    <w:rsid w:val="009F1CB5"/>
    <w:rsid w:val="00A25440"/>
    <w:rsid w:val="00A33474"/>
    <w:rsid w:val="00A51A90"/>
    <w:rsid w:val="00A547BE"/>
    <w:rsid w:val="00A87692"/>
    <w:rsid w:val="00A93593"/>
    <w:rsid w:val="00A978E7"/>
    <w:rsid w:val="00AA7D8A"/>
    <w:rsid w:val="00AC75D6"/>
    <w:rsid w:val="00AD7FE0"/>
    <w:rsid w:val="00AE1B0B"/>
    <w:rsid w:val="00AE26B5"/>
    <w:rsid w:val="00AE7F75"/>
    <w:rsid w:val="00AF2D01"/>
    <w:rsid w:val="00AF3F07"/>
    <w:rsid w:val="00B47C68"/>
    <w:rsid w:val="00B5695A"/>
    <w:rsid w:val="00BA2B7F"/>
    <w:rsid w:val="00BA77A8"/>
    <w:rsid w:val="00BB3661"/>
    <w:rsid w:val="00BB4269"/>
    <w:rsid w:val="00BC4B7F"/>
    <w:rsid w:val="00BE076D"/>
    <w:rsid w:val="00BE4A47"/>
    <w:rsid w:val="00C04B81"/>
    <w:rsid w:val="00C33E4C"/>
    <w:rsid w:val="00CE50FA"/>
    <w:rsid w:val="00D04171"/>
    <w:rsid w:val="00D04582"/>
    <w:rsid w:val="00D06C20"/>
    <w:rsid w:val="00D316BA"/>
    <w:rsid w:val="00D3392B"/>
    <w:rsid w:val="00D34745"/>
    <w:rsid w:val="00D55F86"/>
    <w:rsid w:val="00D65353"/>
    <w:rsid w:val="00D919BF"/>
    <w:rsid w:val="00DC3F67"/>
    <w:rsid w:val="00DD0C1D"/>
    <w:rsid w:val="00DE02F1"/>
    <w:rsid w:val="00DE2987"/>
    <w:rsid w:val="00E1345F"/>
    <w:rsid w:val="00E27D67"/>
    <w:rsid w:val="00E31CFE"/>
    <w:rsid w:val="00E46D53"/>
    <w:rsid w:val="00E67222"/>
    <w:rsid w:val="00E8155A"/>
    <w:rsid w:val="00E816F5"/>
    <w:rsid w:val="00E879FF"/>
    <w:rsid w:val="00E95A0F"/>
    <w:rsid w:val="00EA3D6E"/>
    <w:rsid w:val="00EC0E1F"/>
    <w:rsid w:val="00EE7A2F"/>
    <w:rsid w:val="00F37C88"/>
    <w:rsid w:val="00F444A8"/>
    <w:rsid w:val="00F5357A"/>
    <w:rsid w:val="00F56D69"/>
    <w:rsid w:val="00F9415B"/>
    <w:rsid w:val="00F96839"/>
    <w:rsid w:val="00FC1677"/>
    <w:rsid w:val="00FD2903"/>
    <w:rsid w:val="00FE1291"/>
    <w:rsid w:val="00FE482B"/>
    <w:rsid w:val="00FF56AD"/>
    <w:rsid w:val="018D5F51"/>
    <w:rsid w:val="01EB6FEC"/>
    <w:rsid w:val="020578AC"/>
    <w:rsid w:val="02377743"/>
    <w:rsid w:val="02414DD4"/>
    <w:rsid w:val="026A609C"/>
    <w:rsid w:val="03357777"/>
    <w:rsid w:val="03DB06FE"/>
    <w:rsid w:val="046E56D3"/>
    <w:rsid w:val="049D2AC6"/>
    <w:rsid w:val="04B16B62"/>
    <w:rsid w:val="05215177"/>
    <w:rsid w:val="05563380"/>
    <w:rsid w:val="06106106"/>
    <w:rsid w:val="06490B74"/>
    <w:rsid w:val="06996718"/>
    <w:rsid w:val="06E52844"/>
    <w:rsid w:val="07026ACD"/>
    <w:rsid w:val="08961A5A"/>
    <w:rsid w:val="08A96CC2"/>
    <w:rsid w:val="08D03FC7"/>
    <w:rsid w:val="0A0F44CD"/>
    <w:rsid w:val="0AA97A8C"/>
    <w:rsid w:val="0B047D48"/>
    <w:rsid w:val="0B9C5D9B"/>
    <w:rsid w:val="0BA27F6B"/>
    <w:rsid w:val="0C510FA4"/>
    <w:rsid w:val="0C9E5955"/>
    <w:rsid w:val="0D4C0E51"/>
    <w:rsid w:val="0D511F69"/>
    <w:rsid w:val="0D5A24E8"/>
    <w:rsid w:val="0DC52C23"/>
    <w:rsid w:val="0DF70178"/>
    <w:rsid w:val="0E3C3C0F"/>
    <w:rsid w:val="0E966946"/>
    <w:rsid w:val="0EE542A1"/>
    <w:rsid w:val="0F0E3C1D"/>
    <w:rsid w:val="0F2862EC"/>
    <w:rsid w:val="0F614921"/>
    <w:rsid w:val="0F806FD5"/>
    <w:rsid w:val="0F976A41"/>
    <w:rsid w:val="0FE53808"/>
    <w:rsid w:val="0FF81221"/>
    <w:rsid w:val="105D61FB"/>
    <w:rsid w:val="10AF5991"/>
    <w:rsid w:val="117C0D4E"/>
    <w:rsid w:val="11BB3DB9"/>
    <w:rsid w:val="11D21B30"/>
    <w:rsid w:val="123A07EA"/>
    <w:rsid w:val="123B658C"/>
    <w:rsid w:val="12822D5D"/>
    <w:rsid w:val="12AD4D73"/>
    <w:rsid w:val="12CD4972"/>
    <w:rsid w:val="12FA2A1E"/>
    <w:rsid w:val="12FB08EA"/>
    <w:rsid w:val="13B35082"/>
    <w:rsid w:val="142741A0"/>
    <w:rsid w:val="14FD2EFF"/>
    <w:rsid w:val="152A1DB0"/>
    <w:rsid w:val="155D4436"/>
    <w:rsid w:val="1637208E"/>
    <w:rsid w:val="16457F02"/>
    <w:rsid w:val="1675525F"/>
    <w:rsid w:val="169510B8"/>
    <w:rsid w:val="16B5042D"/>
    <w:rsid w:val="16DD4AF1"/>
    <w:rsid w:val="174C5C47"/>
    <w:rsid w:val="178D27B4"/>
    <w:rsid w:val="182014A2"/>
    <w:rsid w:val="18294E04"/>
    <w:rsid w:val="1892050E"/>
    <w:rsid w:val="18D80C51"/>
    <w:rsid w:val="18EE0BF6"/>
    <w:rsid w:val="18FF0F1B"/>
    <w:rsid w:val="198557BA"/>
    <w:rsid w:val="19CE04CC"/>
    <w:rsid w:val="1A707A6D"/>
    <w:rsid w:val="1A7D6D25"/>
    <w:rsid w:val="1A816486"/>
    <w:rsid w:val="1A893942"/>
    <w:rsid w:val="1A907FA2"/>
    <w:rsid w:val="1AD533CC"/>
    <w:rsid w:val="1B5F5984"/>
    <w:rsid w:val="1BA64FD1"/>
    <w:rsid w:val="1BBC5A18"/>
    <w:rsid w:val="1BE97487"/>
    <w:rsid w:val="1C6357AF"/>
    <w:rsid w:val="1CAC5E2B"/>
    <w:rsid w:val="1CDF5587"/>
    <w:rsid w:val="1CF10D78"/>
    <w:rsid w:val="1D023468"/>
    <w:rsid w:val="1D0736D5"/>
    <w:rsid w:val="1D5D728B"/>
    <w:rsid w:val="1D795BF8"/>
    <w:rsid w:val="1E1378B2"/>
    <w:rsid w:val="1E225C80"/>
    <w:rsid w:val="1E356AFA"/>
    <w:rsid w:val="1E724912"/>
    <w:rsid w:val="1E8F70B8"/>
    <w:rsid w:val="1E936936"/>
    <w:rsid w:val="1F4F61EE"/>
    <w:rsid w:val="1F527064"/>
    <w:rsid w:val="204A0870"/>
    <w:rsid w:val="20740963"/>
    <w:rsid w:val="20C822D8"/>
    <w:rsid w:val="218E1C34"/>
    <w:rsid w:val="21FA0627"/>
    <w:rsid w:val="220D5EC8"/>
    <w:rsid w:val="22220369"/>
    <w:rsid w:val="223431B1"/>
    <w:rsid w:val="22A15AE0"/>
    <w:rsid w:val="22C149FC"/>
    <w:rsid w:val="22F1518B"/>
    <w:rsid w:val="238C25BD"/>
    <w:rsid w:val="246A62AE"/>
    <w:rsid w:val="24A91031"/>
    <w:rsid w:val="2540580E"/>
    <w:rsid w:val="254A0B53"/>
    <w:rsid w:val="25665B19"/>
    <w:rsid w:val="25E72FA7"/>
    <w:rsid w:val="273147E4"/>
    <w:rsid w:val="27487015"/>
    <w:rsid w:val="27A50231"/>
    <w:rsid w:val="28347384"/>
    <w:rsid w:val="287A4275"/>
    <w:rsid w:val="29711978"/>
    <w:rsid w:val="298634AE"/>
    <w:rsid w:val="2A567387"/>
    <w:rsid w:val="2AC21136"/>
    <w:rsid w:val="2AED21E9"/>
    <w:rsid w:val="2B3649F4"/>
    <w:rsid w:val="2B4675FA"/>
    <w:rsid w:val="2BB602C5"/>
    <w:rsid w:val="2BD85FC4"/>
    <w:rsid w:val="2BF50AB4"/>
    <w:rsid w:val="2C1846FA"/>
    <w:rsid w:val="2C1C5AFD"/>
    <w:rsid w:val="2CDB7E63"/>
    <w:rsid w:val="2D434FF8"/>
    <w:rsid w:val="2D4E67CC"/>
    <w:rsid w:val="2DA05DCE"/>
    <w:rsid w:val="2EC208DF"/>
    <w:rsid w:val="2F223C18"/>
    <w:rsid w:val="2F401A95"/>
    <w:rsid w:val="2F517C68"/>
    <w:rsid w:val="2F854CC7"/>
    <w:rsid w:val="2FDD2BC4"/>
    <w:rsid w:val="2FF679D7"/>
    <w:rsid w:val="3058472F"/>
    <w:rsid w:val="30653C55"/>
    <w:rsid w:val="307C6D47"/>
    <w:rsid w:val="308678FC"/>
    <w:rsid w:val="30B93C1E"/>
    <w:rsid w:val="30F83A0E"/>
    <w:rsid w:val="320C78A0"/>
    <w:rsid w:val="322D4AD1"/>
    <w:rsid w:val="3235704A"/>
    <w:rsid w:val="32726967"/>
    <w:rsid w:val="329A0B6A"/>
    <w:rsid w:val="329D05C7"/>
    <w:rsid w:val="32C642E9"/>
    <w:rsid w:val="32D2088E"/>
    <w:rsid w:val="32E479BE"/>
    <w:rsid w:val="332573C9"/>
    <w:rsid w:val="33F3040F"/>
    <w:rsid w:val="34854AB1"/>
    <w:rsid w:val="34A63F82"/>
    <w:rsid w:val="34BF4198"/>
    <w:rsid w:val="350A7012"/>
    <w:rsid w:val="354F02AC"/>
    <w:rsid w:val="360161F0"/>
    <w:rsid w:val="36050641"/>
    <w:rsid w:val="361F6B5B"/>
    <w:rsid w:val="36365F0F"/>
    <w:rsid w:val="365C6B3D"/>
    <w:rsid w:val="372651A6"/>
    <w:rsid w:val="379A4E61"/>
    <w:rsid w:val="382265A3"/>
    <w:rsid w:val="385467B2"/>
    <w:rsid w:val="386B45BC"/>
    <w:rsid w:val="39223F50"/>
    <w:rsid w:val="394C6E9C"/>
    <w:rsid w:val="39915230"/>
    <w:rsid w:val="39A47D94"/>
    <w:rsid w:val="39B533F4"/>
    <w:rsid w:val="39CD5E4B"/>
    <w:rsid w:val="3A166DB1"/>
    <w:rsid w:val="3A6464DA"/>
    <w:rsid w:val="3B0D1F3F"/>
    <w:rsid w:val="3B35691C"/>
    <w:rsid w:val="3B376401"/>
    <w:rsid w:val="3B8B78CF"/>
    <w:rsid w:val="3C691FB2"/>
    <w:rsid w:val="3D1957A0"/>
    <w:rsid w:val="3D3B3330"/>
    <w:rsid w:val="3D794D6C"/>
    <w:rsid w:val="3F996600"/>
    <w:rsid w:val="401A73E5"/>
    <w:rsid w:val="40270632"/>
    <w:rsid w:val="40897331"/>
    <w:rsid w:val="41084885"/>
    <w:rsid w:val="413B574D"/>
    <w:rsid w:val="41637739"/>
    <w:rsid w:val="41A75327"/>
    <w:rsid w:val="42511776"/>
    <w:rsid w:val="425C3FD4"/>
    <w:rsid w:val="42726493"/>
    <w:rsid w:val="42A8140E"/>
    <w:rsid w:val="43CF0465"/>
    <w:rsid w:val="44C2436C"/>
    <w:rsid w:val="44D90650"/>
    <w:rsid w:val="45225B34"/>
    <w:rsid w:val="454247FC"/>
    <w:rsid w:val="456B1E84"/>
    <w:rsid w:val="45937A12"/>
    <w:rsid w:val="45AB7274"/>
    <w:rsid w:val="45C2437E"/>
    <w:rsid w:val="46247283"/>
    <w:rsid w:val="464740FB"/>
    <w:rsid w:val="466B4F36"/>
    <w:rsid w:val="46772930"/>
    <w:rsid w:val="46945BA3"/>
    <w:rsid w:val="469C1860"/>
    <w:rsid w:val="48100387"/>
    <w:rsid w:val="489F1960"/>
    <w:rsid w:val="48AD6D6F"/>
    <w:rsid w:val="492F3120"/>
    <w:rsid w:val="49866A44"/>
    <w:rsid w:val="4A646C71"/>
    <w:rsid w:val="4A73155F"/>
    <w:rsid w:val="4A974BFD"/>
    <w:rsid w:val="4B041272"/>
    <w:rsid w:val="4B9A6CD9"/>
    <w:rsid w:val="4CC42E4B"/>
    <w:rsid w:val="4CD55DF0"/>
    <w:rsid w:val="4DA41B7F"/>
    <w:rsid w:val="4DED30E6"/>
    <w:rsid w:val="4E006899"/>
    <w:rsid w:val="4E4604CC"/>
    <w:rsid w:val="4E6B607B"/>
    <w:rsid w:val="4E7E67D5"/>
    <w:rsid w:val="4E834167"/>
    <w:rsid w:val="4EE704C2"/>
    <w:rsid w:val="500E145A"/>
    <w:rsid w:val="500E49CD"/>
    <w:rsid w:val="500F1CD5"/>
    <w:rsid w:val="50F30A3E"/>
    <w:rsid w:val="511D25A1"/>
    <w:rsid w:val="5143646D"/>
    <w:rsid w:val="51695710"/>
    <w:rsid w:val="51A36407"/>
    <w:rsid w:val="51D60B75"/>
    <w:rsid w:val="51D91B25"/>
    <w:rsid w:val="5202225E"/>
    <w:rsid w:val="521557F3"/>
    <w:rsid w:val="523F15CA"/>
    <w:rsid w:val="525E4232"/>
    <w:rsid w:val="52C77658"/>
    <w:rsid w:val="52DB0D77"/>
    <w:rsid w:val="53BF0718"/>
    <w:rsid w:val="55385537"/>
    <w:rsid w:val="56444969"/>
    <w:rsid w:val="56516960"/>
    <w:rsid w:val="56B17483"/>
    <w:rsid w:val="57176092"/>
    <w:rsid w:val="57262273"/>
    <w:rsid w:val="575C7B62"/>
    <w:rsid w:val="57DD0263"/>
    <w:rsid w:val="58083A83"/>
    <w:rsid w:val="581B10FA"/>
    <w:rsid w:val="582156EE"/>
    <w:rsid w:val="58427747"/>
    <w:rsid w:val="58B94C78"/>
    <w:rsid w:val="58BB4CDB"/>
    <w:rsid w:val="58EF27E3"/>
    <w:rsid w:val="58F96B51"/>
    <w:rsid w:val="59AD702D"/>
    <w:rsid w:val="59D14CC4"/>
    <w:rsid w:val="59EF730D"/>
    <w:rsid w:val="59FF73A2"/>
    <w:rsid w:val="5A945937"/>
    <w:rsid w:val="5AA340C2"/>
    <w:rsid w:val="5AB6501F"/>
    <w:rsid w:val="5B9E1D5B"/>
    <w:rsid w:val="5B9F30CD"/>
    <w:rsid w:val="5BCB323C"/>
    <w:rsid w:val="5CC83D65"/>
    <w:rsid w:val="5D1960B0"/>
    <w:rsid w:val="5D790E7F"/>
    <w:rsid w:val="5DC24B3C"/>
    <w:rsid w:val="5DC63A4E"/>
    <w:rsid w:val="5DED53D1"/>
    <w:rsid w:val="5E1B7959"/>
    <w:rsid w:val="5EAD142E"/>
    <w:rsid w:val="5EF76013"/>
    <w:rsid w:val="5EFE5A8B"/>
    <w:rsid w:val="5F3F3BFD"/>
    <w:rsid w:val="5F7071A8"/>
    <w:rsid w:val="5FC6181B"/>
    <w:rsid w:val="5FED401A"/>
    <w:rsid w:val="60066955"/>
    <w:rsid w:val="601211DC"/>
    <w:rsid w:val="60292197"/>
    <w:rsid w:val="60683BC4"/>
    <w:rsid w:val="610C5CC5"/>
    <w:rsid w:val="612829F8"/>
    <w:rsid w:val="619A0DA9"/>
    <w:rsid w:val="61C43619"/>
    <w:rsid w:val="6210426E"/>
    <w:rsid w:val="62126C3A"/>
    <w:rsid w:val="62325267"/>
    <w:rsid w:val="63510BEE"/>
    <w:rsid w:val="637E758B"/>
    <w:rsid w:val="638119A8"/>
    <w:rsid w:val="642D51FD"/>
    <w:rsid w:val="64312382"/>
    <w:rsid w:val="644E4B1D"/>
    <w:rsid w:val="64651B49"/>
    <w:rsid w:val="648C2CC5"/>
    <w:rsid w:val="64A11C37"/>
    <w:rsid w:val="64A55F1E"/>
    <w:rsid w:val="652C5EC9"/>
    <w:rsid w:val="65353764"/>
    <w:rsid w:val="657171FE"/>
    <w:rsid w:val="65A46AEA"/>
    <w:rsid w:val="65EC5F0A"/>
    <w:rsid w:val="66EC4D96"/>
    <w:rsid w:val="6736101B"/>
    <w:rsid w:val="68370CCC"/>
    <w:rsid w:val="684D7DEF"/>
    <w:rsid w:val="68585ADF"/>
    <w:rsid w:val="68A77809"/>
    <w:rsid w:val="68C94029"/>
    <w:rsid w:val="695217DC"/>
    <w:rsid w:val="697D3A5F"/>
    <w:rsid w:val="69923628"/>
    <w:rsid w:val="69C37032"/>
    <w:rsid w:val="6A2C55E6"/>
    <w:rsid w:val="6AE5751C"/>
    <w:rsid w:val="6AFC54E5"/>
    <w:rsid w:val="6B2F26F6"/>
    <w:rsid w:val="6B362A85"/>
    <w:rsid w:val="6B895F90"/>
    <w:rsid w:val="6BD916EE"/>
    <w:rsid w:val="6CCA1A7F"/>
    <w:rsid w:val="6D847B28"/>
    <w:rsid w:val="6DD3641A"/>
    <w:rsid w:val="6E035291"/>
    <w:rsid w:val="6E1206A4"/>
    <w:rsid w:val="6E5A3D7E"/>
    <w:rsid w:val="6FDB28A3"/>
    <w:rsid w:val="703933A1"/>
    <w:rsid w:val="70773FBE"/>
    <w:rsid w:val="70AA0758"/>
    <w:rsid w:val="70B61502"/>
    <w:rsid w:val="70CE17C7"/>
    <w:rsid w:val="70F5166C"/>
    <w:rsid w:val="71981EC0"/>
    <w:rsid w:val="71EF5ACB"/>
    <w:rsid w:val="72145BFB"/>
    <w:rsid w:val="722B706A"/>
    <w:rsid w:val="723369CC"/>
    <w:rsid w:val="723B233B"/>
    <w:rsid w:val="724F5D5C"/>
    <w:rsid w:val="72595DB6"/>
    <w:rsid w:val="728E0A16"/>
    <w:rsid w:val="729371FE"/>
    <w:rsid w:val="72C43ABF"/>
    <w:rsid w:val="72E929DE"/>
    <w:rsid w:val="72EF2B1D"/>
    <w:rsid w:val="738D015F"/>
    <w:rsid w:val="73990B03"/>
    <w:rsid w:val="745751F5"/>
    <w:rsid w:val="74892FD1"/>
    <w:rsid w:val="74AD4C4E"/>
    <w:rsid w:val="74FB18F9"/>
    <w:rsid w:val="75616560"/>
    <w:rsid w:val="75E158E8"/>
    <w:rsid w:val="75F80517"/>
    <w:rsid w:val="76C57715"/>
    <w:rsid w:val="771479EA"/>
    <w:rsid w:val="771C35A1"/>
    <w:rsid w:val="77A03719"/>
    <w:rsid w:val="78223427"/>
    <w:rsid w:val="789923C9"/>
    <w:rsid w:val="78A4259B"/>
    <w:rsid w:val="78C31CAF"/>
    <w:rsid w:val="78CE6E70"/>
    <w:rsid w:val="78FC6178"/>
    <w:rsid w:val="795B3486"/>
    <w:rsid w:val="79B75ECC"/>
    <w:rsid w:val="79E45FD6"/>
    <w:rsid w:val="7A52270E"/>
    <w:rsid w:val="7AD0105B"/>
    <w:rsid w:val="7AF92581"/>
    <w:rsid w:val="7B044A15"/>
    <w:rsid w:val="7B170E00"/>
    <w:rsid w:val="7B3057E8"/>
    <w:rsid w:val="7B471A04"/>
    <w:rsid w:val="7B655D19"/>
    <w:rsid w:val="7C721F5F"/>
    <w:rsid w:val="7C7D36C4"/>
    <w:rsid w:val="7D197A3B"/>
    <w:rsid w:val="7D1F7EDB"/>
    <w:rsid w:val="7D3707EB"/>
    <w:rsid w:val="7DAC4B36"/>
    <w:rsid w:val="7E431677"/>
    <w:rsid w:val="7E5572E2"/>
    <w:rsid w:val="7E9A3A0C"/>
    <w:rsid w:val="7ED67996"/>
    <w:rsid w:val="7F116F65"/>
    <w:rsid w:val="7F516160"/>
    <w:rsid w:val="7FD45F9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qFormat="1"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b/>
      <w:sz w:val="24"/>
    </w:rPr>
  </w:style>
  <w:style w:type="paragraph" w:styleId="4">
    <w:name w:val="heading 3"/>
    <w:basedOn w:val="1"/>
    <w:next w:val="1"/>
    <w:qFormat/>
    <w:uiPriority w:val="0"/>
    <w:pPr>
      <w:keepNext/>
      <w:keepLines/>
      <w:spacing w:before="260" w:after="260" w:line="413" w:lineRule="auto"/>
      <w:outlineLvl w:val="2"/>
    </w:pPr>
    <w:rPr>
      <w:rFonts w:ascii="Calibri" w:hAnsi="Calibri"/>
      <w:b/>
      <w:sz w:val="24"/>
    </w:rPr>
  </w:style>
  <w:style w:type="character" w:default="1" w:styleId="13">
    <w:name w:val="Default Paragraph Font"/>
    <w:unhideWhenUsed/>
    <w:qFormat/>
    <w:uiPriority w:val="1"/>
  </w:style>
  <w:style w:type="table" w:default="1" w:styleId="11">
    <w:name w:val="Normal Table"/>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Indent"/>
    <w:basedOn w:val="1"/>
    <w:unhideWhenUsed/>
    <w:qFormat/>
    <w:uiPriority w:val="0"/>
    <w:pPr>
      <w:ind w:firstLine="630"/>
    </w:pPr>
    <w:rPr>
      <w:kern w:val="0"/>
      <w:sz w:val="24"/>
    </w:rPr>
  </w:style>
  <w:style w:type="paragraph" w:styleId="7">
    <w:name w:val="Body Text Indent 2"/>
    <w:basedOn w:val="1"/>
    <w:unhideWhenUsed/>
    <w:qFormat/>
    <w:uiPriority w:val="0"/>
    <w:pPr>
      <w:ind w:firstLine="600"/>
    </w:pPr>
    <w:rPr>
      <w:kern w:val="0"/>
      <w:sz w:val="24"/>
    </w:rPr>
  </w:style>
  <w:style w:type="paragraph" w:styleId="8">
    <w:name w:val="Balloon Text"/>
    <w:basedOn w:val="1"/>
    <w:semiHidden/>
    <w:qFormat/>
    <w:uiPriority w:val="0"/>
    <w:rPr>
      <w:sz w:val="18"/>
      <w:szCs w:val="18"/>
    </w:rPr>
  </w:style>
  <w:style w:type="paragraph" w:styleId="9">
    <w:name w:val="footer"/>
    <w:basedOn w:val="1"/>
    <w:unhideWhenUsed/>
    <w:qFormat/>
    <w:uiPriority w:val="0"/>
    <w:pPr>
      <w:tabs>
        <w:tab w:val="center" w:pos="4153"/>
        <w:tab w:val="right" w:pos="8306"/>
      </w:tabs>
      <w:snapToGrid w:val="0"/>
      <w:jc w:val="left"/>
    </w:pPr>
    <w:rPr>
      <w:sz w:val="18"/>
      <w:szCs w:val="20"/>
    </w:rPr>
  </w:style>
  <w:style w:type="paragraph" w:styleId="10">
    <w:name w:val="header"/>
    <w:basedOn w:val="1"/>
    <w:unhideWhenUsed/>
    <w:qFormat/>
    <w:uiPriority w:val="0"/>
    <w:pPr>
      <w:pBdr>
        <w:bottom w:val="single" w:color="auto" w:sz="6" w:space="1"/>
      </w:pBdr>
      <w:tabs>
        <w:tab w:val="center" w:pos="4153"/>
        <w:tab w:val="right" w:pos="8306"/>
      </w:tabs>
      <w:snapToGrid w:val="0"/>
      <w:jc w:val="center"/>
    </w:pPr>
    <w:rPr>
      <w:sz w:val="18"/>
      <w:szCs w:val="20"/>
    </w:rPr>
  </w:style>
  <w:style w:type="table" w:styleId="12">
    <w:name w:val="Table Grid"/>
    <w:basedOn w:val="11"/>
    <w:unhideWhenUsed/>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qFormat/>
    <w:uiPriority w:val="0"/>
  </w:style>
  <w:style w:type="character" w:styleId="15">
    <w:name w:val="Emphasis"/>
    <w:qFormat/>
    <w:uiPriority w:val="0"/>
  </w:style>
  <w:style w:type="character" w:styleId="16">
    <w:name w:val="HTML Definition"/>
    <w:qFormat/>
    <w:uiPriority w:val="0"/>
  </w:style>
  <w:style w:type="character" w:styleId="17">
    <w:name w:val="HTML Acronym"/>
    <w:basedOn w:val="13"/>
    <w:qFormat/>
    <w:uiPriority w:val="0"/>
  </w:style>
  <w:style w:type="character" w:styleId="18">
    <w:name w:val="HTML Variable"/>
    <w:qFormat/>
    <w:uiPriority w:val="0"/>
  </w:style>
  <w:style w:type="character" w:styleId="19">
    <w:name w:val="HTML Code"/>
    <w:qFormat/>
    <w:uiPriority w:val="0"/>
    <w:rPr>
      <w:rFonts w:ascii="Courier New" w:hAnsi="Courier New"/>
      <w:sz w:val="20"/>
      <w:shd w:val="clear" w:color="auto" w:fill="FFFFFF"/>
    </w:rPr>
  </w:style>
  <w:style w:type="character" w:styleId="20">
    <w:name w:val="HTML Cite"/>
    <w:qFormat/>
    <w:uiPriority w:val="0"/>
  </w:style>
  <w:style w:type="paragraph" w:customStyle="1" w:styleId="21">
    <w:name w:val="正文 A"/>
    <w:qFormat/>
    <w:uiPriority w:val="0"/>
    <w:pPr>
      <w:widowControl w:val="0"/>
      <w:spacing w:line="560" w:lineRule="atLeast"/>
      <w:ind w:firstLine="640"/>
      <w:jc w:val="both"/>
    </w:pPr>
    <w:rPr>
      <w:rFonts w:ascii="Arial Unicode MS" w:hAnsi="Arial Unicode MS" w:eastAsia="宋体" w:cs="Arial Unicode MS"/>
      <w:color w:val="000000"/>
      <w:kern w:val="2"/>
      <w:sz w:val="32"/>
      <w:szCs w:val="32"/>
      <w:u w:val="none" w:color="000000"/>
      <w:lang w:val="en-US" w:eastAsia="zh-CN" w:bidi="ar-SA"/>
    </w:rPr>
  </w:style>
  <w:style w:type="paragraph" w:customStyle="1" w:styleId="2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3">
    <w:name w:val="YJH-nei"/>
    <w:qFormat/>
    <w:uiPriority w:val="0"/>
    <w:pPr>
      <w:spacing w:line="600" w:lineRule="exact"/>
      <w:ind w:firstLine="200" w:firstLineChars="200"/>
    </w:pPr>
    <w:rPr>
      <w:rFonts w:ascii="仿宋_GB2312" w:hAnsi="宋体" w:eastAsia="仿宋_GB2312" w:cs="Times New Roman"/>
      <w:sz w:val="30"/>
      <w:szCs w:val="30"/>
      <w:lang w:val="en-US" w:eastAsia="zh-CN" w:bidi="ar-SA"/>
    </w:rPr>
  </w:style>
  <w:style w:type="paragraph" w:customStyle="1" w:styleId="24">
    <w:name w:val="p0"/>
    <w:basedOn w:val="1"/>
    <w:qFormat/>
    <w:uiPriority w:val="0"/>
    <w:pPr>
      <w:widowControl/>
    </w:pPr>
    <w:rPr>
      <w:kern w:val="0"/>
      <w:szCs w:val="21"/>
    </w:rPr>
  </w:style>
  <w:style w:type="character" w:customStyle="1" w:styleId="25">
    <w:name w:val="leftmenu-morenav"/>
    <w:basedOn w:val="13"/>
    <w:qFormat/>
    <w:uiPriority w:val="0"/>
  </w:style>
  <w:style w:type="character" w:customStyle="1" w:styleId="26">
    <w:name w:val="disabled"/>
    <w:qFormat/>
    <w:uiPriority w:val="0"/>
    <w:rPr>
      <w:color w:val="CCCCCC"/>
      <w:bdr w:val="single" w:color="CCCCCC" w:sz="6" w:space="0"/>
    </w:rPr>
  </w:style>
  <w:style w:type="character" w:customStyle="1" w:styleId="27">
    <w:name w:val="font11"/>
    <w:qFormat/>
    <w:uiPriority w:val="0"/>
    <w:rPr>
      <w:rFonts w:hint="default" w:ascii="微软简仿宋" w:hAnsi="微软简仿宋" w:eastAsia="微软简仿宋" w:cs="微软简仿宋"/>
      <w:color w:val="000000"/>
      <w:sz w:val="24"/>
      <w:szCs w:val="24"/>
      <w:u w:val="none"/>
    </w:rPr>
  </w:style>
  <w:style w:type="character" w:customStyle="1" w:styleId="28">
    <w:name w:val="current"/>
    <w:qFormat/>
    <w:uiPriority w:val="0"/>
    <w:rPr>
      <w:color w:val="FFFFFF"/>
      <w:bdr w:val="single" w:color="8DB5D7" w:sz="6" w:space="0"/>
      <w:shd w:val="clear" w:color="auto" w:fill="0080FF"/>
    </w:rPr>
  </w:style>
  <w:style w:type="character" w:customStyle="1" w:styleId="29">
    <w:name w:val="font51"/>
    <w:qFormat/>
    <w:uiPriority w:val="0"/>
    <w:rPr>
      <w:rFonts w:hint="default" w:ascii="Times New Roman" w:hAnsi="Times New Roman" w:cs="Times New Roman"/>
      <w:color w:val="000000"/>
      <w:sz w:val="24"/>
      <w:szCs w:val="24"/>
      <w:u w:val="none"/>
    </w:rPr>
  </w:style>
  <w:style w:type="character" w:customStyle="1" w:styleId="30">
    <w:name w:val="font81"/>
    <w:qFormat/>
    <w:uiPriority w:val="0"/>
    <w:rPr>
      <w:rFonts w:hint="default" w:ascii="微软简仿宋" w:hAnsi="微软简仿宋" w:eastAsia="微软简仿宋" w:cs="微软简仿宋"/>
      <w:color w:val="000000"/>
      <w:sz w:val="24"/>
      <w:szCs w:val="24"/>
      <w:u w:val="none"/>
    </w:rPr>
  </w:style>
  <w:style w:type="character" w:customStyle="1" w:styleId="31">
    <w:name w:val="font01"/>
    <w:qFormat/>
    <w:uiPriority w:val="0"/>
    <w:rPr>
      <w:rFonts w:hint="default" w:ascii="Times New Roman" w:hAnsi="Times New Roman" w:cs="Times New Roman"/>
      <w:color w:val="000000"/>
      <w:sz w:val="24"/>
      <w:szCs w:val="24"/>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华夏银行总行</Company>
  <Pages>19</Pages>
  <Words>19066</Words>
  <Characters>19576</Characters>
  <Lines>136</Lines>
  <Paragraphs>38</Paragraphs>
  <TotalTime>12</TotalTime>
  <ScaleCrop>false</ScaleCrop>
  <LinksUpToDate>false</LinksUpToDate>
  <CharactersWithSpaces>19912</CharactersWithSpaces>
  <Application>WPS Office_11.8.2.12089_F1E327BC-269C-435d-A152-05C5408002CA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2022-12-28T12:31:00Z</dcterms:created>
  <dc:creator>ylh</dc:creator>
  <cp:keywords>新版;22-12-28</cp:keywords>
  <cp:lastModifiedBy>苏晨晓</cp:lastModifiedBy>
  <dcterms:modified xsi:type="dcterms:W3CDTF">2025-03-05T11:53:20Z</dcterms:modified>
  <dc:title>华夏理财固定收益纯债最短持有</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2052-11.8.2.12089</vt:lpwstr>
  </property>
  <property fmtid="{D5CDD505-2E9C-101B-9397-08002B2CF9AE}" pid="3" name="ICV">
    <vt:lpwstr>3F118DDC332B4BE19A8A294940E2D962</vt:lpwstr>
  </property>
</Properties>
</file>