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adjustRightInd w:val="0"/>
        <w:snapToGrid w:val="0"/>
        <w:spacing w:line="400" w:lineRule="exact"/>
        <w:ind w:firstLine="0"/>
        <w:jc w:val="center"/>
        <w:rPr>
          <w:rFonts w:hint="eastAsia" w:eastAsia="黑体"/>
          <w:bCs/>
          <w:kern w:val="2"/>
          <w:sz w:val="36"/>
          <w:szCs w:val="36"/>
        </w:rPr>
      </w:pPr>
      <w:r>
        <w:rPr>
          <w:rFonts w:hint="eastAsia" w:eastAsia="黑体"/>
          <w:bCs/>
          <w:kern w:val="2"/>
          <w:sz w:val="36"/>
          <w:szCs w:val="36"/>
        </w:rPr>
        <w:t>华夏理财</w:t>
      </w:r>
      <w:r>
        <w:rPr>
          <w:rFonts w:hint="eastAsia" w:eastAsia="黑体"/>
          <w:bCs/>
          <w:kern w:val="2"/>
          <w:sz w:val="36"/>
          <w:szCs w:val="36"/>
          <w:lang w:val="en-US" w:eastAsia="zh-CN"/>
        </w:rPr>
        <w:t>悦慧</w:t>
      </w:r>
      <w:r>
        <w:rPr>
          <w:rFonts w:hint="eastAsia" w:eastAsia="黑体"/>
          <w:bCs/>
          <w:kern w:val="2"/>
          <w:sz w:val="36"/>
          <w:szCs w:val="36"/>
        </w:rPr>
        <w:t>最短持有</w:t>
      </w:r>
      <w:r>
        <w:rPr>
          <w:rFonts w:hint="eastAsia" w:eastAsia="黑体"/>
          <w:bCs/>
          <w:kern w:val="2"/>
          <w:sz w:val="36"/>
          <w:szCs w:val="36"/>
          <w:lang w:val="en-US" w:eastAsia="zh-CN"/>
        </w:rPr>
        <w:t>7</w:t>
      </w:r>
      <w:r>
        <w:rPr>
          <w:rFonts w:hint="eastAsia" w:eastAsia="黑体"/>
          <w:bCs/>
          <w:kern w:val="2"/>
          <w:sz w:val="36"/>
          <w:szCs w:val="36"/>
        </w:rPr>
        <w:t>天理财产品</w:t>
      </w:r>
      <w:r>
        <w:rPr>
          <w:rFonts w:hint="eastAsia" w:eastAsia="黑体"/>
          <w:bCs/>
          <w:kern w:val="2"/>
          <w:sz w:val="36"/>
          <w:szCs w:val="36"/>
          <w:lang w:val="en-US" w:eastAsia="zh-CN"/>
        </w:rPr>
        <w:t>M</w:t>
      </w:r>
      <w:r>
        <w:rPr>
          <w:rFonts w:hint="eastAsia" w:eastAsia="黑体"/>
          <w:bCs/>
          <w:kern w:val="2"/>
          <w:sz w:val="36"/>
          <w:szCs w:val="36"/>
        </w:rPr>
        <w:t>款</w:t>
      </w:r>
    </w:p>
    <w:p>
      <w:pPr>
        <w:pStyle w:val="6"/>
        <w:adjustRightInd w:val="0"/>
        <w:snapToGrid w:val="0"/>
        <w:spacing w:line="400" w:lineRule="exact"/>
        <w:ind w:firstLine="0"/>
        <w:jc w:val="center"/>
        <w:rPr>
          <w:rFonts w:hint="eastAsia" w:eastAsia="黑体"/>
          <w:bCs/>
          <w:kern w:val="2"/>
          <w:sz w:val="36"/>
          <w:szCs w:val="36"/>
        </w:rPr>
      </w:pPr>
      <w:r>
        <w:rPr>
          <w:rFonts w:hint="eastAsia" w:eastAsia="黑体"/>
          <w:bCs/>
          <w:kern w:val="2"/>
          <w:sz w:val="36"/>
          <w:szCs w:val="36"/>
        </w:rPr>
        <w:t>说明书</w:t>
      </w:r>
    </w:p>
    <w:tbl>
      <w:tblPr>
        <w:tblStyle w:val="11"/>
        <w:tblpPr w:leftFromText="180" w:rightFromText="180" w:vertAnchor="page" w:horzAnchor="page" w:tblpX="1867" w:tblpY="2343"/>
        <w:tblW w:w="859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2" w:hRule="atLeast"/>
        </w:trPr>
        <w:tc>
          <w:tcPr>
            <w:tcW w:w="8590"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一、理财非存款，产品有风险，投资须谨慎。</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二、本理财产品为非保本浮动收益净值型理财产品，华夏理财有限责任公司（以下简称“华夏理财”）不保证理财产品本金及理财收益。在本理财产品存续期间，除本产品说明书约定的特殊情况外，投资者可在规定时间内按照本产品说明书中约定的申购、赎回条款申购或赎回本理财产品。投资者投资本理财产品所面临的风险包括本金及理财收益风险、信用风险、市场风险、流动性风险、投资风险、汇率风险、法律及政策风险、理财产品不成立风险、提前终止风险、延期风险、信息传递风险、关联关系风险、拟投资市场及资产风险和其他风险等，请投资者详细阅读本产品说明书第八部分风险揭示内容。投资者应在对风险有充分认识基础上基于自身的独立判断谨慎投资。</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三、华夏理财郑重提示：在购买理财产品前，投资者应仔细阅读本说明书，确保自己完全明白本项投资的性质和所涉及的风险，详细了解和审慎评估本理财产品的资金投资方向、风险类型等基本情况，在慎重考虑后自行决定购买与自身风险承受能力和资产管理需求匹配的理财产品。本理财产品的业绩比较基准</w:t>
            </w:r>
            <w:r>
              <w:rPr>
                <w:rFonts w:hint="eastAsia" w:ascii="黑体" w:hAnsi="黑体" w:eastAsia="黑体"/>
                <w:b/>
                <w:sz w:val="28"/>
                <w:szCs w:val="28"/>
                <w:u w:val="single"/>
                <w:lang w:eastAsia="zh-CN"/>
              </w:rPr>
              <w:t>（</w:t>
            </w:r>
            <w:r>
              <w:rPr>
                <w:rFonts w:hint="eastAsia" w:ascii="黑体" w:hAnsi="黑体" w:eastAsia="黑体"/>
                <w:b/>
                <w:sz w:val="28"/>
                <w:szCs w:val="28"/>
                <w:u w:val="single"/>
              </w:rPr>
              <w:t>如有</w:t>
            </w:r>
            <w:r>
              <w:rPr>
                <w:rFonts w:hint="eastAsia" w:ascii="黑体" w:hAnsi="黑体" w:eastAsia="黑体"/>
                <w:b/>
                <w:sz w:val="28"/>
                <w:szCs w:val="28"/>
                <w:u w:val="single"/>
                <w:lang w:eastAsia="zh-CN"/>
              </w:rPr>
              <w:t>）</w:t>
            </w:r>
            <w:r>
              <w:rPr>
                <w:rFonts w:hint="eastAsia" w:ascii="黑体" w:hAnsi="黑体" w:eastAsia="黑体"/>
                <w:b/>
                <w:sz w:val="28"/>
                <w:szCs w:val="28"/>
                <w:u w:val="single"/>
              </w:rPr>
              <w:t>不是预期收益率，不代表产品的未来表现和实际收益，不构成管理人对产品收益的承诺，投资者所能获得的最终收益以管理人根据本理财产品的投资运作情况实际支付给投资者的收益为准。</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投资者如需进行业务咨询或投诉，请拨打华夏理财客户服务热线4001795577或其他代理销售机构客户服务热线。</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五、本说明书在法律许可的范围内由华夏理财方负责解释。</w:t>
            </w:r>
          </w:p>
        </w:tc>
      </w:tr>
    </w:tbl>
    <w:p>
      <w:pPr>
        <w:pStyle w:val="6"/>
        <w:adjustRightInd w:val="0"/>
        <w:snapToGrid w:val="0"/>
        <w:spacing w:line="400" w:lineRule="exact"/>
        <w:ind w:firstLine="0"/>
        <w:jc w:val="center"/>
        <w:rPr>
          <w:rFonts w:eastAsia="黑体"/>
          <w:bCs/>
          <w:kern w:val="2"/>
          <w:sz w:val="36"/>
          <w:szCs w:val="36"/>
        </w:rPr>
      </w:pP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bookmarkStart w:id="4" w:name="_GoBack"/>
      <w:bookmarkEnd w:id="4"/>
      <w:r>
        <w:rPr>
          <w:rFonts w:hint="eastAsia" w:ascii="Times New Roman" w:eastAsia="黑体" w:cs="Times New Roman"/>
          <w:b/>
          <w:color w:val="auto"/>
        </w:rPr>
        <w:t>一、</w:t>
      </w:r>
      <w:r>
        <w:rPr>
          <w:rFonts w:ascii="Times New Roman" w:eastAsia="黑体" w:cs="Times New Roman"/>
          <w:b/>
          <w:color w:val="auto"/>
        </w:rPr>
        <w:t>产品概述</w:t>
      </w:r>
    </w:p>
    <w:tbl>
      <w:tblPr>
        <w:tblStyle w:val="11"/>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华夏理财</w:t>
            </w:r>
            <w:r>
              <w:rPr>
                <w:rFonts w:hint="eastAsia" w:ascii="仿宋" w:hAnsi="仿宋" w:eastAsia="仿宋"/>
                <w:b/>
                <w:bCs/>
                <w:szCs w:val="21"/>
                <w:lang w:val="en-US" w:eastAsia="zh-CN"/>
              </w:rPr>
              <w:t>悦慧</w:t>
            </w:r>
            <w:r>
              <w:rPr>
                <w:rFonts w:hint="eastAsia" w:ascii="仿宋" w:hAnsi="仿宋" w:eastAsia="仿宋"/>
                <w:b/>
                <w:bCs/>
                <w:szCs w:val="21"/>
              </w:rPr>
              <w:t>最短持有</w:t>
            </w:r>
            <w:r>
              <w:rPr>
                <w:rFonts w:hint="eastAsia" w:ascii="仿宋" w:hAnsi="仿宋" w:eastAsia="仿宋"/>
                <w:b/>
                <w:bCs/>
                <w:szCs w:val="21"/>
                <w:lang w:val="en-US" w:eastAsia="zh-CN"/>
              </w:rPr>
              <w:t>7</w:t>
            </w:r>
            <w:r>
              <w:rPr>
                <w:rFonts w:hint="eastAsia" w:ascii="仿宋" w:hAnsi="仿宋" w:eastAsia="仿宋"/>
                <w:b/>
                <w:bCs/>
                <w:szCs w:val="21"/>
              </w:rPr>
              <w:t>天理财产品</w:t>
            </w:r>
            <w:r>
              <w:rPr>
                <w:rFonts w:hint="eastAsia" w:ascii="仿宋" w:hAnsi="仿宋" w:eastAsia="仿宋"/>
                <w:b/>
                <w:bCs/>
                <w:szCs w:val="21"/>
                <w:lang w:val="en-US" w:eastAsia="zh-CN"/>
              </w:rPr>
              <w:t>M</w:t>
            </w:r>
            <w:r>
              <w:rPr>
                <w:rFonts w:hint="eastAsia" w:ascii="仿宋" w:hAnsi="仿宋" w:eastAsia="仿宋"/>
                <w:b/>
                <w:bCs/>
                <w:szCs w:val="21"/>
              </w:rPr>
              <w:t>款</w:t>
            </w:r>
          </w:p>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A份额简称：“华夏理财悦慧最短持有7天M款A”</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default" w:ascii="仿宋" w:hAnsi="仿宋" w:eastAsia="仿宋"/>
                <w:bCs/>
                <w:szCs w:val="21"/>
                <w:highlight w:val="none"/>
                <w:lang w:val="en-US"/>
              </w:rPr>
            </w:pPr>
            <w:r>
              <w:rPr>
                <w:rFonts w:hint="eastAsia" w:ascii="仿宋" w:hAnsi="仿宋" w:eastAsia="仿宋"/>
                <w:bCs/>
                <w:szCs w:val="21"/>
                <w:highlight w:val="none"/>
              </w:rPr>
              <w:t>24135031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cs="Times New Roman"/>
                <w:bCs/>
                <w:kern w:val="2"/>
                <w:sz w:val="21"/>
                <w:szCs w:val="21"/>
                <w:lang w:val="en-US" w:eastAsia="zh-CN" w:bidi="ar-SA"/>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cs="Times New Roman"/>
                <w:bCs/>
                <w:kern w:val="2"/>
                <w:sz w:val="21"/>
                <w:szCs w:val="21"/>
                <w:lang w:val="en-US" w:eastAsia="zh-CN" w:bidi="ar-SA"/>
              </w:rPr>
            </w:pPr>
            <w:r>
              <w:rPr>
                <w:rFonts w:hint="eastAsia" w:ascii="仿宋" w:hAnsi="仿宋" w:eastAsia="仿宋"/>
                <w:bCs/>
                <w:szCs w:val="21"/>
              </w:rPr>
              <w:t>A份额：</w:t>
            </w:r>
            <w:r>
              <w:rPr>
                <w:rFonts w:hint="eastAsia" w:ascii="仿宋" w:hAnsi="仿宋" w:eastAsia="仿宋"/>
                <w:bCs/>
                <w:szCs w:val="21"/>
                <w:highlight w:val="none"/>
              </w:rPr>
              <w:t>24135031</w:t>
            </w:r>
            <w:r>
              <w:rPr>
                <w:rFonts w:hint="eastAsia" w:ascii="仿宋" w:hAnsi="仿宋" w:eastAsia="仿宋"/>
                <w:bCs/>
                <w:szCs w:val="21"/>
                <w:highlight w:val="none"/>
                <w:lang w:val="en-US" w:eastAsia="zh-CN"/>
              </w:rPr>
              <w:t>A</w:t>
            </w:r>
            <w:r>
              <w:rPr>
                <w:rFonts w:hint="eastAsia" w:ascii="仿宋" w:hAnsi="仿宋" w:eastAsia="仿宋"/>
                <w:bCs/>
                <w:szCs w:val="21"/>
                <w:lang w:eastAsia="zh-CN"/>
              </w:rPr>
              <w:t>（面向微众银行</w:t>
            </w:r>
            <w:r>
              <w:rPr>
                <w:rFonts w:hint="eastAsia" w:ascii="仿宋" w:hAnsi="仿宋" w:eastAsia="仿宋"/>
                <w:bCs/>
                <w:szCs w:val="21"/>
                <w:lang w:val="en-US" w:eastAsia="zh-CN"/>
              </w:rPr>
              <w:t>渠道</w:t>
            </w:r>
            <w:r>
              <w:rPr>
                <w:rFonts w:hint="eastAsia" w:ascii="仿宋" w:hAnsi="仿宋" w:eastAsia="仿宋"/>
                <w:bCs/>
                <w:szCs w:val="21"/>
                <w:lang w:eastAsia="zh-CN"/>
              </w:rPr>
              <w:t>销售）</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default" w:ascii="仿宋" w:hAnsi="仿宋" w:eastAsia="仿宋"/>
                <w:bCs/>
                <w:szCs w:val="21"/>
                <w:highlight w:val="none"/>
                <w:lang w:val="en-US"/>
              </w:rPr>
            </w:pPr>
            <w:r>
              <w:rPr>
                <w:rFonts w:hint="eastAsia" w:ascii="仿宋" w:hAnsi="仿宋" w:eastAsia="仿宋"/>
                <w:bCs/>
                <w:szCs w:val="21"/>
                <w:highlight w:val="none"/>
              </w:rPr>
              <w:t>Z7003925000392</w:t>
            </w:r>
          </w:p>
          <w:p>
            <w:pPr>
              <w:adjustRightInd w:val="0"/>
              <w:snapToGrid w:val="0"/>
              <w:spacing w:line="240" w:lineRule="atLeast"/>
              <w:jc w:val="center"/>
              <w:rPr>
                <w:rFonts w:ascii="仿宋" w:hAnsi="仿宋" w:eastAsia="仿宋"/>
                <w:bCs/>
                <w:szCs w:val="21"/>
                <w:highlight w:val="none"/>
              </w:rPr>
            </w:pPr>
            <w:r>
              <w:rPr>
                <w:rFonts w:hint="eastAsia" w:ascii="仿宋" w:hAnsi="仿宋" w:eastAsia="仿宋"/>
                <w:bCs/>
                <w:szCs w:val="21"/>
                <w:highlight w:val="none"/>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w:t>
            </w:r>
            <w:r>
              <w:rPr>
                <w:rFonts w:ascii="仿宋" w:hAnsi="仿宋" w:eastAsia="仿宋"/>
                <w:bCs/>
                <w:szCs w:val="21"/>
              </w:rPr>
              <w:t>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rPr>
              <w:t xml:space="preserve"> </w:t>
            </w:r>
            <w:r>
              <w:rPr>
                <w:rFonts w:hint="eastAsia" w:ascii="仿宋" w:hAnsi="仿宋" w:eastAsia="仿宋"/>
                <w:bCs/>
                <w:szCs w:val="21"/>
                <w:u w:val="single"/>
              </w:rPr>
              <w:t>PR2级（中低风险）</w:t>
            </w:r>
            <w:r>
              <w:rPr>
                <w:rFonts w:ascii="仿宋" w:hAnsi="仿宋" w:eastAsia="仿宋"/>
                <w:bCs/>
                <w:szCs w:val="21"/>
              </w:rPr>
              <w:t xml:space="preserve"> 理财产品。</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w:t>
            </w:r>
            <w:r>
              <w:rPr>
                <w:rFonts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lang w:eastAsia="zh-CN"/>
              </w:rPr>
              <w:t>【</w:t>
            </w:r>
            <w:r>
              <w:rPr>
                <w:rFonts w:ascii="仿宋" w:hAnsi="仿宋" w:eastAsia="仿宋"/>
                <w:bCs/>
                <w:szCs w:val="21"/>
                <w:u w:val="single"/>
              </w:rPr>
              <w:t xml:space="preserve"> </w:t>
            </w:r>
            <w:r>
              <w:rPr>
                <w:rFonts w:hint="eastAsia" w:ascii="仿宋" w:hAnsi="仿宋" w:eastAsia="仿宋"/>
                <w:bCs/>
                <w:color w:val="000000"/>
                <w:szCs w:val="21"/>
                <w:u w:val="single"/>
              </w:rPr>
              <w:t>CR2（稳健型）、CR3（平衡型）、CR4（进取型）、CR5（激进型）</w:t>
            </w:r>
            <w:r>
              <w:rPr>
                <w:rFonts w:hint="eastAsia" w:ascii="仿宋" w:hAnsi="仿宋" w:eastAsia="仿宋"/>
                <w:bCs/>
                <w:color w:val="000000"/>
                <w:szCs w:val="21"/>
                <w:lang w:eastAsia="zh-CN"/>
              </w:rPr>
              <w:t>】</w:t>
            </w:r>
            <w:r>
              <w:rPr>
                <w:rFonts w:ascii="仿宋" w:hAnsi="仿宋" w:eastAsia="仿宋"/>
                <w:bCs/>
                <w:szCs w:val="21"/>
              </w:rPr>
              <w:t xml:space="preserve"> </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240" w:lineRule="atLeast"/>
              <w:ind w:firstLine="420" w:firstLineChars="200"/>
              <w:rPr>
                <w:rFonts w:ascii="仿宋" w:hAnsi="仿宋" w:eastAsia="仿宋"/>
                <w:b/>
                <w:bCs/>
                <w:color w:val="000000"/>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p>
          <w:p>
            <w:pPr>
              <w:adjustRightInd w:val="0"/>
              <w:snapToGrid w:val="0"/>
              <w:spacing w:line="240" w:lineRule="atLeast"/>
              <w:ind w:firstLine="422" w:firstLineChars="200"/>
              <w:rPr>
                <w:rFonts w:hint="eastAsia" w:ascii="仿宋" w:hAnsi="仿宋" w:eastAsia="仿宋"/>
                <w:b/>
                <w:bCs/>
                <w:color w:val="000000"/>
                <w:szCs w:val="21"/>
              </w:rPr>
            </w:pP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p>
            <w:pPr>
              <w:adjustRightInd w:val="0"/>
              <w:snapToGrid w:val="0"/>
              <w:spacing w:line="240" w:lineRule="atLeast"/>
              <w:ind w:firstLine="420" w:firstLineChars="200"/>
              <w:rPr>
                <w:rFonts w:hint="eastAsia" w:ascii="仿宋" w:hAnsi="仿宋" w:eastAsia="仿宋"/>
                <w:b/>
                <w:bCs/>
                <w:color w:val="000000"/>
                <w:szCs w:val="21"/>
              </w:rPr>
            </w:pPr>
            <w:r>
              <w:rPr>
                <w:rFonts w:hint="eastAsia" w:ascii="仿宋" w:hAnsi="仿宋" w:eastAsia="仿宋"/>
                <w:b w:val="0"/>
                <w:bCs w:val="0"/>
                <w:color w:val="000000"/>
                <w:szCs w:val="21"/>
              </w:rPr>
              <w:t>如影响风险承受能力的因素发生变化，请及时完成风险承受能力评估。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p>
            <w:pPr>
              <w:adjustRightInd w:val="0"/>
              <w:snapToGrid w:val="0"/>
              <w:spacing w:line="240" w:lineRule="atLeast"/>
              <w:jc w:val="center"/>
              <w:rPr>
                <w:rFonts w:ascii="仿宋" w:hAnsi="仿宋" w:eastAsia="仿宋"/>
                <w:bCs/>
                <w:szCs w:val="21"/>
              </w:rPr>
            </w:pP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ascii="仿宋" w:hAnsi="仿宋" w:eastAsia="仿宋" w:cs="Cambria"/>
                <w:bCs/>
                <w:szCs w:val="21"/>
              </w:rPr>
              <w:t>A</w:t>
            </w:r>
            <w:r>
              <w:rPr>
                <w:rFonts w:hint="eastAsia" w:ascii="仿宋" w:hAnsi="仿宋" w:eastAsia="仿宋" w:cs="Cambria"/>
                <w:bCs/>
                <w:szCs w:val="21"/>
              </w:rPr>
              <w:t>份额：</w:t>
            </w:r>
            <w:r>
              <w:rPr>
                <w:rFonts w:hint="eastAsia" w:ascii="仿宋" w:hAnsi="仿宋" w:eastAsia="仿宋" w:cs="Cambria"/>
                <w:bCs/>
                <w:kern w:val="0"/>
                <w:szCs w:val="21"/>
              </w:rPr>
              <w:t>业绩比较基准为</w:t>
            </w:r>
            <w:r>
              <w:rPr>
                <w:rFonts w:hint="eastAsia" w:ascii="仿宋" w:hAnsi="仿宋" w:eastAsia="仿宋" w:cs="Cambria"/>
                <w:bCs/>
                <w:kern w:val="0"/>
                <w:szCs w:val="21"/>
                <w:lang w:val="en-US" w:eastAsia="zh-CN"/>
              </w:rPr>
              <w:t>1.50%-2.50%</w:t>
            </w:r>
            <w:r>
              <w:rPr>
                <w:rFonts w:hint="eastAsia" w:ascii="仿宋" w:hAnsi="仿宋" w:eastAsia="仿宋" w:cs="Cambria"/>
                <w:bCs/>
                <w:kern w:val="0"/>
                <w:szCs w:val="21"/>
              </w:rPr>
              <w:t>（年化）。以产品投资于债券类资产仓位80%-100%，权益类资产（仅限优先股）仓位0-20%，组合杠杆率110%-140%为例，参考符合久期要求的目标债券到期收益率、优先股资产收益率，结合低波动类资产组合配置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华夏理财有权根据市场情况及产品运作情况调整业绩比较基准，</w:t>
            </w:r>
            <w:r>
              <w:rPr>
                <w:rFonts w:hint="eastAsia" w:ascii="仿宋" w:hAnsi="仿宋" w:eastAsia="仿宋"/>
                <w:bCs/>
                <w:szCs w:val="21"/>
              </w:rPr>
              <w:t>并至少于新业绩比较基准启用前3个工作日公告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3.理财产品过往业绩不代表其未来表现，不等于理财产品实际收益，不构成对产品收益的承诺，投资须谨慎。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w:t>
            </w:r>
            <w:r>
              <w:rPr>
                <w:rFonts w:hint="eastAsia" w:ascii="仿宋" w:hAnsi="仿宋" w:eastAsia="仿宋"/>
                <w:bCs/>
                <w:szCs w:val="21"/>
                <w:lang w:val="en-US" w:eastAsia="zh-CN"/>
              </w:rPr>
              <w:t>5</w:t>
            </w:r>
            <w:r>
              <w:rPr>
                <w:rFonts w:hint="eastAsia" w:ascii="仿宋" w:hAnsi="仿宋" w:eastAsia="仿宋"/>
                <w:bCs/>
                <w:szCs w:val="21"/>
              </w:rPr>
              <w:t>年</w:t>
            </w:r>
            <w:r>
              <w:rPr>
                <w:rFonts w:hint="eastAsia" w:ascii="仿宋" w:hAnsi="仿宋" w:eastAsia="仿宋"/>
                <w:bCs/>
                <w:szCs w:val="21"/>
                <w:lang w:val="en-US" w:eastAsia="zh-CN"/>
              </w:rPr>
              <w:t>4</w:t>
            </w:r>
            <w:r>
              <w:rPr>
                <w:rFonts w:hint="eastAsia" w:ascii="仿宋" w:hAnsi="仿宋" w:eastAsia="仿宋"/>
                <w:bCs/>
                <w:szCs w:val="21"/>
              </w:rPr>
              <w:t>月</w:t>
            </w:r>
            <w:r>
              <w:rPr>
                <w:rFonts w:hint="eastAsia" w:ascii="仿宋" w:hAnsi="仿宋" w:eastAsia="仿宋"/>
                <w:bCs/>
                <w:szCs w:val="21"/>
                <w:lang w:val="en-US" w:eastAsia="zh-CN"/>
              </w:rPr>
              <w:t>14</w:t>
            </w:r>
            <w:r>
              <w:rPr>
                <w:rFonts w:hint="eastAsia" w:ascii="仿宋" w:hAnsi="仿宋" w:eastAsia="仿宋"/>
                <w:bCs/>
                <w:szCs w:val="21"/>
              </w:rPr>
              <w:t>日－2025年</w:t>
            </w:r>
            <w:r>
              <w:rPr>
                <w:rFonts w:hint="eastAsia" w:ascii="仿宋" w:hAnsi="仿宋" w:eastAsia="仿宋"/>
                <w:bCs/>
                <w:szCs w:val="21"/>
                <w:lang w:val="en-US" w:eastAsia="zh-CN"/>
              </w:rPr>
              <w:t>4</w:t>
            </w:r>
            <w:r>
              <w:rPr>
                <w:rFonts w:hint="eastAsia" w:ascii="仿宋" w:hAnsi="仿宋" w:eastAsia="仿宋"/>
                <w:bCs/>
                <w:szCs w:val="21"/>
              </w:rPr>
              <w:t>月</w:t>
            </w:r>
            <w:r>
              <w:rPr>
                <w:rFonts w:hint="eastAsia" w:ascii="仿宋" w:hAnsi="仿宋" w:eastAsia="仿宋"/>
                <w:bCs/>
                <w:szCs w:val="21"/>
                <w:lang w:val="en-US" w:eastAsia="zh-CN"/>
              </w:rPr>
              <w:t>15</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w:t>
            </w:r>
            <w:r>
              <w:rPr>
                <w:rFonts w:hint="eastAsia" w:ascii="仿宋" w:hAnsi="仿宋" w:eastAsia="仿宋"/>
                <w:bCs/>
                <w:szCs w:val="21"/>
                <w:lang w:val="en-US" w:eastAsia="zh-CN"/>
              </w:rPr>
              <w:t>5:</w:t>
            </w:r>
            <w:r>
              <w:rPr>
                <w:rFonts w:hint="eastAsia" w:ascii="仿宋" w:hAnsi="仿宋" w:eastAsia="仿宋"/>
                <w:bCs/>
                <w:szCs w:val="21"/>
              </w:rPr>
              <w:t>30（含）后不可认购。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2025年</w:t>
            </w:r>
            <w:r>
              <w:rPr>
                <w:rFonts w:hint="eastAsia" w:ascii="仿宋" w:hAnsi="仿宋" w:eastAsia="仿宋"/>
                <w:bCs/>
                <w:szCs w:val="21"/>
                <w:lang w:val="en-US" w:eastAsia="zh-CN"/>
              </w:rPr>
              <w:t>4</w:t>
            </w:r>
            <w:r>
              <w:rPr>
                <w:rFonts w:hint="eastAsia" w:ascii="仿宋" w:hAnsi="仿宋" w:eastAsia="仿宋"/>
                <w:bCs/>
                <w:szCs w:val="21"/>
              </w:rPr>
              <w:t>月</w:t>
            </w:r>
            <w:r>
              <w:rPr>
                <w:rFonts w:hint="eastAsia" w:ascii="仿宋" w:hAnsi="仿宋" w:eastAsia="仿宋"/>
                <w:bCs/>
                <w:szCs w:val="21"/>
                <w:lang w:val="en-US" w:eastAsia="zh-CN"/>
              </w:rPr>
              <w:t>16</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
                <w:bCs/>
                <w:szCs w:val="21"/>
              </w:rPr>
            </w:pPr>
            <w:r>
              <w:rPr>
                <w:rFonts w:hint="eastAsia" w:ascii="仿宋" w:hAnsi="仿宋" w:eastAsia="仿宋"/>
                <w:bCs/>
                <w:szCs w:val="21"/>
              </w:rPr>
              <w:t>本理财产品不设置封闭期。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产品存续期限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color w:val="000000"/>
                <w:szCs w:val="21"/>
              </w:rPr>
              <w:t>本理财产品无特定存续期限（产品实际期限受制于提前终止条款的约定）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ascii="仿宋" w:hAnsi="仿宋" w:eastAsia="仿宋" w:cs="Cambria"/>
                <w:bCs/>
                <w:szCs w:val="21"/>
              </w:rPr>
              <w:t>A</w:t>
            </w:r>
            <w:r>
              <w:rPr>
                <w:rFonts w:hint="eastAsia" w:ascii="仿宋" w:hAnsi="仿宋" w:eastAsia="仿宋" w:cs="Cambria"/>
                <w:bCs/>
                <w:szCs w:val="21"/>
              </w:rPr>
              <w:t>份额：</w:t>
            </w:r>
            <w:r>
              <w:rPr>
                <w:rFonts w:hint="eastAsia" w:ascii="仿宋" w:hAnsi="仿宋" w:eastAsia="仿宋" w:cs="Cambria"/>
                <w:bCs/>
                <w:szCs w:val="21"/>
                <w:lang w:val="en-US" w:eastAsia="zh-CN"/>
              </w:rPr>
              <w:t>0.0</w:t>
            </w:r>
            <w:r>
              <w:rPr>
                <w:rFonts w:hint="eastAsia" w:ascii="仿宋" w:hAnsi="仿宋" w:eastAsia="仿宋"/>
                <w:bCs/>
                <w:szCs w:val="21"/>
              </w:rPr>
              <w:t>1元，以</w:t>
            </w:r>
            <w:r>
              <w:rPr>
                <w:rFonts w:hint="eastAsia" w:ascii="仿宋" w:hAnsi="仿宋" w:eastAsia="仿宋"/>
                <w:bCs/>
                <w:szCs w:val="21"/>
                <w:lang w:val="en-US" w:eastAsia="zh-CN"/>
              </w:rPr>
              <w:t>0.0</w:t>
            </w:r>
            <w:r>
              <w:rPr>
                <w:rFonts w:hint="eastAsia" w:ascii="仿宋" w:hAnsi="仿宋" w:eastAsia="仿宋"/>
                <w:bCs/>
                <w:szCs w:val="21"/>
              </w:rPr>
              <w:t>1元的整数倍递增。</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color w:val="000000"/>
                <w:szCs w:val="21"/>
              </w:rPr>
              <w:t>最高持有限额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最高持有限额要求：单一投资者持有本产品份额数不得超过本产品份额总数的 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ascii="仿宋" w:hAnsi="仿宋" w:eastAsia="仿宋" w:cs="Cambria"/>
                <w:bCs/>
                <w:szCs w:val="21"/>
              </w:rPr>
              <w:t>A</w:t>
            </w:r>
            <w:r>
              <w:rPr>
                <w:rFonts w:hint="eastAsia" w:ascii="仿宋" w:hAnsi="仿宋" w:eastAsia="仿宋" w:cs="Cambria"/>
                <w:bCs/>
                <w:szCs w:val="21"/>
              </w:rPr>
              <w:t>份额：</w:t>
            </w:r>
            <w:r>
              <w:rPr>
                <w:rFonts w:hint="eastAsia" w:ascii="仿宋" w:hAnsi="仿宋" w:eastAsia="仿宋"/>
                <w:bCs/>
                <w:szCs w:val="21"/>
                <w:lang w:val="en-US" w:eastAsia="zh-CN"/>
              </w:rPr>
              <w:t>0.0</w:t>
            </w:r>
            <w:r>
              <w:rPr>
                <w:rFonts w:ascii="仿宋" w:hAnsi="仿宋" w:eastAsia="仿宋"/>
                <w:bCs/>
                <w:szCs w:val="21"/>
              </w:rPr>
              <w:t>1元，以</w:t>
            </w:r>
            <w:r>
              <w:rPr>
                <w:rFonts w:hint="eastAsia" w:ascii="仿宋" w:hAnsi="仿宋" w:eastAsia="仿宋"/>
                <w:bCs/>
                <w:szCs w:val="21"/>
                <w:lang w:val="en-US" w:eastAsia="zh-CN"/>
              </w:rPr>
              <w:t>0.0</w:t>
            </w:r>
            <w:r>
              <w:rPr>
                <w:rFonts w:ascii="仿宋" w:hAnsi="仿宋" w:eastAsia="仿宋"/>
                <w:bCs/>
                <w:szCs w:val="21"/>
              </w:rPr>
              <w:t>1元的整数倍追加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单笔赎回</w:t>
            </w:r>
            <w:r>
              <w:rPr>
                <w:rFonts w:hint="eastAsia" w:ascii="仿宋" w:hAnsi="仿宋" w:eastAsia="仿宋"/>
                <w:bCs/>
                <w:szCs w:val="21"/>
              </w:rPr>
              <w:t xml:space="preserve">     </w:t>
            </w:r>
            <w:r>
              <w:rPr>
                <w:rFonts w:ascii="仿宋" w:hAnsi="仿宋" w:eastAsia="仿宋"/>
                <w:bCs/>
                <w:szCs w:val="21"/>
              </w:rPr>
              <w:t>最低</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理财账户</w:t>
            </w:r>
            <w:r>
              <w:rPr>
                <w:rFonts w:hint="eastAsia" w:ascii="仿宋" w:hAnsi="仿宋" w:eastAsia="仿宋"/>
                <w:bCs/>
                <w:szCs w:val="21"/>
              </w:rPr>
              <w:t xml:space="preserve">     </w:t>
            </w:r>
            <w:r>
              <w:rPr>
                <w:rFonts w:ascii="仿宋" w:hAnsi="仿宋" w:eastAsia="仿宋"/>
                <w:bCs/>
                <w:szCs w:val="21"/>
              </w:rPr>
              <w:t>最低保留</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
                <w:szCs w:val="21"/>
              </w:rPr>
              <w:t>投资者发起赎回交易时，将触发判断理财账户份额余额是否低于最低保留限额要求，可能引发强制赎回交易，具体约定详见“赎回规定”。</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份额净值为提取管理费、托管费、销售手续费等相关费用后的理财产品份额净值，投资者按该份额净值进行申购、赎回和到期/终止时的分配。</w:t>
            </w:r>
          </w:p>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rPr>
              <w:t>份额净值的计算保留到小数点后</w:t>
            </w:r>
            <w:r>
              <w:rPr>
                <w:rFonts w:ascii="仿宋" w:hAnsi="仿宋" w:eastAsia="仿宋"/>
                <w:bCs/>
                <w:szCs w:val="21"/>
              </w:rPr>
              <w:t xml:space="preserve"> 4 </w:t>
            </w:r>
            <w:r>
              <w:rPr>
                <w:rFonts w:hint="eastAsia" w:ascii="仿宋" w:hAnsi="仿宋" w:eastAsia="仿宋"/>
                <w:bCs/>
                <w:szCs w:val="21"/>
              </w:rPr>
              <w:t>位，小数点后第</w:t>
            </w:r>
            <w:r>
              <w:rPr>
                <w:rFonts w:ascii="仿宋" w:hAnsi="仿宋" w:eastAsia="仿宋"/>
                <w:bCs/>
                <w:szCs w:val="21"/>
              </w:rPr>
              <w:t xml:space="preserve"> 5 </w:t>
            </w:r>
            <w:r>
              <w:rPr>
                <w:rFonts w:hint="eastAsia" w:ascii="仿宋" w:hAnsi="仿宋" w:eastAsia="仿宋"/>
                <w:bCs/>
                <w:szCs w:val="21"/>
              </w:rPr>
              <w:t>位四舍五入。</w:t>
            </w:r>
          </w:p>
          <w:p>
            <w:pPr>
              <w:adjustRightInd w:val="0"/>
              <w:snapToGrid w:val="0"/>
              <w:spacing w:line="240" w:lineRule="atLeast"/>
              <w:ind w:firstLine="420"/>
              <w:rPr>
                <w:rFonts w:hint="eastAsia" w:ascii="仿宋" w:hAnsi="仿宋" w:eastAsia="仿宋"/>
                <w:bCs/>
                <w:szCs w:val="21"/>
              </w:rPr>
            </w:pPr>
            <w:r>
              <w:rPr>
                <w:rFonts w:hint="eastAsia" w:ascii="仿宋" w:hAnsi="仿宋" w:eastAsia="仿宋"/>
                <w:b/>
                <w:bCs w:val="0"/>
                <w:szCs w:val="21"/>
                <w:lang w:val="en-GB"/>
              </w:rPr>
              <w:t>为保护投资者的利益，在发生大额赎回等情况时，经与产品托管人协商一致，华夏理财有权临时提高产品或单个份额的份额净值精度，并在上述事项对投资者利益不再产生重大影响时，恢复说明书约定的份额净值精度。投资者可在本说明书约定的信息披露渠道查询产品份额净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申购份额＝申购金额/申购</w:t>
            </w:r>
            <w:r>
              <w:rPr>
                <w:rFonts w:hint="eastAsia" w:ascii="仿宋" w:hAnsi="仿宋" w:eastAsia="仿宋"/>
                <w:bCs/>
                <w:szCs w:val="21"/>
              </w:rPr>
              <w:t>申请日日终的产品份额净值,申购份额保留到小数点后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hint="eastAsia" w:ascii="仿宋" w:hAnsi="仿宋" w:eastAsia="仿宋"/>
                <w:bCs/>
                <w:szCs w:val="21"/>
              </w:rPr>
            </w:pPr>
            <w:r>
              <w:rPr>
                <w:rFonts w:hint="eastAsia" w:ascii="仿宋" w:hAnsi="仿宋" w:eastAsia="仿宋"/>
                <w:bCs/>
                <w:szCs w:val="21"/>
              </w:rPr>
              <w:t>工作日指上海证券交易所和深圳证券交易所的交易日，且同时为银行对外办理一般对公业务的工作日。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lang w:val="en-US" w:eastAsia="zh-CN"/>
              </w:rPr>
            </w:pPr>
            <w:r>
              <w:rPr>
                <w:rFonts w:hint="eastAsia" w:ascii="仿宋" w:hAnsi="仿宋" w:eastAsia="仿宋"/>
                <w:bCs/>
                <w:szCs w:val="21"/>
                <w:lang w:val="en-US" w:eastAsia="zh-CN"/>
              </w:rPr>
              <w:t>交易日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hint="eastAsia" w:ascii="仿宋" w:hAnsi="仿宋" w:eastAsia="仿宋"/>
                <w:bCs/>
                <w:szCs w:val="21"/>
              </w:rPr>
            </w:pPr>
            <w:r>
              <w:rPr>
                <w:rFonts w:hint="eastAsia" w:ascii="仿宋" w:hAnsi="仿宋" w:eastAsia="仿宋"/>
                <w:bCs/>
                <w:szCs w:val="21"/>
              </w:rPr>
              <w:t>交易日指上海证券交易所和深圳证券交易所的交易日。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开放日为产品成立后每个</w:t>
            </w:r>
            <w:r>
              <w:rPr>
                <w:rFonts w:ascii="仿宋" w:hAnsi="仿宋" w:eastAsia="仿宋"/>
                <w:bCs/>
                <w:szCs w:val="21"/>
              </w:rPr>
              <w:t>工作日</w:t>
            </w:r>
            <w:r>
              <w:rPr>
                <w:rFonts w:hint="eastAsia" w:ascii="仿宋" w:hAnsi="仿宋" w:eastAsia="仿宋"/>
                <w:bCs/>
                <w:szCs w:val="21"/>
              </w:rPr>
              <w:t>，开放日如遇非工作日则顺延至下一个工作日。</w:t>
            </w:r>
          </w:p>
          <w:p>
            <w:pPr>
              <w:adjustRightInd w:val="0"/>
              <w:snapToGrid w:val="0"/>
              <w:spacing w:line="240" w:lineRule="atLeast"/>
              <w:ind w:right="-44"/>
              <w:rPr>
                <w:rFonts w:ascii="仿宋" w:hAnsi="仿宋" w:eastAsia="仿宋"/>
                <w:bCs/>
                <w:szCs w:val="21"/>
              </w:rPr>
            </w:pPr>
            <w:r>
              <w:rPr>
                <w:rFonts w:hint="eastAsia" w:ascii="仿宋" w:hAnsi="仿宋" w:eastAsia="仿宋"/>
                <w:szCs w:val="21"/>
              </w:rPr>
              <w:t xml:space="preserve">    </w:t>
            </w:r>
            <w:r>
              <w:rPr>
                <w:rFonts w:hint="eastAsia" w:ascii="仿宋" w:hAnsi="仿宋" w:eastAsia="仿宋"/>
                <w:bCs/>
                <w:szCs w:val="21"/>
              </w:rPr>
              <w:t>通过华夏银行/华夏理财购买的，</w:t>
            </w:r>
            <w:r>
              <w:rPr>
                <w:rFonts w:hint="eastAsia" w:ascii="仿宋" w:hAnsi="仿宋" w:eastAsia="仿宋"/>
                <w:szCs w:val="21"/>
              </w:rPr>
              <w:t xml:space="preserve">每个开放日的开放时间为 </w:t>
            </w:r>
            <w:r>
              <w:rPr>
                <w:rFonts w:ascii="仿宋" w:hAnsi="仿宋" w:eastAsia="仿宋"/>
                <w:u w:val="single"/>
              </w:rPr>
              <w:t>9</w:t>
            </w:r>
            <w:r>
              <w:rPr>
                <w:rFonts w:hint="eastAsia" w:ascii="仿宋" w:hAnsi="仿宋" w:eastAsia="仿宋"/>
                <w:u w:val="single"/>
              </w:rPr>
              <w:t>:00-</w:t>
            </w:r>
            <w:r>
              <w:rPr>
                <w:rFonts w:ascii="仿宋" w:hAnsi="仿宋" w:eastAsia="仿宋"/>
                <w:u w:val="single"/>
              </w:rPr>
              <w:t>15</w:t>
            </w:r>
            <w:r>
              <w:rPr>
                <w:rFonts w:hint="eastAsia" w:ascii="仿宋" w:hAnsi="仿宋" w:eastAsia="仿宋"/>
                <w:u w:val="single"/>
              </w:rPr>
              <w:t>:</w:t>
            </w:r>
            <w:r>
              <w:rPr>
                <w:rFonts w:ascii="仿宋" w:hAnsi="仿宋" w:eastAsia="仿宋"/>
                <w:u w:val="single"/>
              </w:rPr>
              <w:t>3</w:t>
            </w:r>
            <w:r>
              <w:rPr>
                <w:rFonts w:hint="eastAsia" w:ascii="仿宋" w:hAnsi="仿宋" w:eastAsia="仿宋"/>
                <w:u w:val="single"/>
              </w:rPr>
              <w:t>0</w:t>
            </w:r>
            <w:r>
              <w:rPr>
                <w:rFonts w:ascii="仿宋" w:hAnsi="仿宋" w:eastAsia="仿宋"/>
                <w:bCs/>
                <w:szCs w:val="21"/>
              </w:rPr>
              <w:t xml:space="preserve"> </w:t>
            </w:r>
            <w:r>
              <w:rPr>
                <w:rFonts w:hint="eastAsia" w:ascii="仿宋" w:hAnsi="仿宋" w:eastAsia="仿宋"/>
                <w:bCs/>
                <w:szCs w:val="21"/>
              </w:rPr>
              <w:t>，</w:t>
            </w:r>
            <w:r>
              <w:rPr>
                <w:rFonts w:hint="eastAsia" w:ascii="仿宋" w:hAnsi="仿宋" w:eastAsia="仿宋"/>
              </w:rPr>
              <w:t>通过其他代销机构购买的，</w:t>
            </w:r>
            <w:r>
              <w:rPr>
                <w:rFonts w:hint="eastAsia" w:ascii="仿宋" w:hAnsi="仿宋" w:eastAsia="仿宋"/>
                <w:bCs/>
                <w:szCs w:val="21"/>
              </w:rPr>
              <w:t>每个开放日的开放时间</w:t>
            </w:r>
            <w:r>
              <w:rPr>
                <w:rFonts w:hint="eastAsia" w:ascii="仿宋" w:hAnsi="仿宋" w:eastAsia="仿宋"/>
              </w:rPr>
              <w:t>以代销机构规定为准</w:t>
            </w:r>
            <w:r>
              <w:rPr>
                <w:rFonts w:hint="eastAsia" w:ascii="仿宋" w:hAnsi="仿宋" w:eastAsia="仿宋"/>
                <w:szCs w:val="21"/>
              </w:rPr>
              <w:t>。</w:t>
            </w:r>
          </w:p>
          <w:p>
            <w:pPr>
              <w:adjustRightInd w:val="0"/>
              <w:snapToGrid w:val="0"/>
              <w:spacing w:line="240" w:lineRule="atLeast"/>
              <w:ind w:right="-44" w:firstLine="420" w:firstLineChars="200"/>
              <w:jc w:val="left"/>
              <w:rPr>
                <w:rFonts w:ascii="仿宋" w:hAnsi="仿宋" w:eastAsia="仿宋"/>
                <w:szCs w:val="21"/>
              </w:rPr>
            </w:pPr>
            <w:r>
              <w:rPr>
                <w:rFonts w:hint="eastAsia" w:ascii="仿宋" w:hAnsi="仿宋" w:eastAsia="仿宋"/>
                <w:szCs w:val="21"/>
              </w:rPr>
              <w:t>在本理财产品存续期间，如投资者在开放日开放时间内提交申购申请，华夏理财作为当日申购申请处理，该申请只能于当日开放时间内撤销；如投资者在开放日开放时间结束后及非开放日提交申购申请，通过华夏银行/华夏理财购买的，作为下一开放日申购申请处理，该申请只能于下一开放日开放时间结束前撤销；通过其他代销机构购买的，业务处理规则以该代销机构业务规定为准。</w:t>
            </w:r>
          </w:p>
          <w:p>
            <w:pPr>
              <w:adjustRightInd w:val="0"/>
              <w:snapToGrid w:val="0"/>
              <w:spacing w:line="240" w:lineRule="atLeast"/>
              <w:ind w:right="-44" w:firstLine="422" w:firstLineChars="200"/>
              <w:jc w:val="left"/>
              <w:rPr>
                <w:rFonts w:ascii="仿宋" w:hAnsi="仿宋" w:eastAsia="仿宋"/>
                <w:bCs/>
                <w:szCs w:val="21"/>
              </w:rPr>
            </w:pPr>
            <w:r>
              <w:rPr>
                <w:rFonts w:hint="eastAsia" w:ascii="仿宋" w:hAnsi="仿宋" w:eastAsia="仿宋"/>
                <w:b/>
                <w:bCs/>
                <w:szCs w:val="21"/>
              </w:rPr>
              <w:t>每个开放日的份额净值</w:t>
            </w:r>
            <w:r>
              <w:rPr>
                <w:rFonts w:ascii="仿宋" w:hAnsi="仿宋" w:eastAsia="仿宋"/>
                <w:b/>
                <w:bCs/>
                <w:color w:val="000000"/>
                <w:szCs w:val="21"/>
              </w:rPr>
              <w:t>将</w:t>
            </w:r>
            <w:r>
              <w:rPr>
                <w:rFonts w:hint="eastAsia" w:ascii="仿宋" w:hAnsi="仿宋" w:eastAsia="仿宋"/>
                <w:b/>
                <w:bCs/>
                <w:color w:val="000000"/>
                <w:szCs w:val="21"/>
              </w:rPr>
              <w:t>随</w:t>
            </w:r>
            <w:r>
              <w:rPr>
                <w:rFonts w:ascii="仿宋" w:hAnsi="仿宋" w:eastAsia="仿宋"/>
                <w:b/>
                <w:bCs/>
                <w:color w:val="000000"/>
                <w:szCs w:val="21"/>
              </w:rPr>
              <w:t>市场波动，具有不</w:t>
            </w:r>
            <w:r>
              <w:rPr>
                <w:rFonts w:hint="eastAsia" w:ascii="仿宋" w:hAnsi="仿宋" w:eastAsia="仿宋"/>
                <w:b/>
                <w:bCs/>
                <w:color w:val="000000"/>
                <w:szCs w:val="21"/>
              </w:rPr>
              <w:t>确定</w:t>
            </w:r>
            <w:r>
              <w:rPr>
                <w:rFonts w:ascii="仿宋" w:hAnsi="仿宋" w:eastAsia="仿宋"/>
                <w:b/>
                <w:bCs/>
                <w:color w:val="000000"/>
                <w:szCs w:val="21"/>
              </w:rPr>
              <w:t>性</w:t>
            </w:r>
            <w:r>
              <w:rPr>
                <w:rFonts w:hint="eastAsia" w:ascii="仿宋" w:hAnsi="仿宋" w:eastAsia="仿宋"/>
                <w:b/>
                <w:bCs/>
                <w:color w:val="000000"/>
                <w:szCs w:val="21"/>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最短持有期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u w:val="single"/>
              </w:rPr>
            </w:pPr>
            <w:r>
              <w:rPr>
                <w:rFonts w:hint="eastAsia" w:ascii="仿宋" w:hAnsi="仿宋" w:eastAsia="仿宋"/>
                <w:bCs/>
                <w:szCs w:val="21"/>
                <w:u w:val="single"/>
                <w:lang w:val="en-US" w:eastAsia="zh-CN"/>
              </w:rPr>
              <w:t>7</w:t>
            </w:r>
            <w:r>
              <w:rPr>
                <w:rFonts w:hint="eastAsia" w:ascii="仿宋" w:hAnsi="仿宋" w:eastAsia="仿宋"/>
                <w:bCs/>
                <w:szCs w:val="21"/>
                <w:u w:val="single"/>
              </w:rPr>
              <w:t xml:space="preserve"> 个自然日，对投资者的每笔认/申购份额设置最短持有期限，即每笔认购份额从产品成立日（含）或每笔申购份额从申购申请确认日（含）起 </w:t>
            </w:r>
            <w:r>
              <w:rPr>
                <w:rFonts w:hint="eastAsia" w:ascii="仿宋" w:hAnsi="仿宋" w:eastAsia="仿宋"/>
                <w:bCs/>
                <w:szCs w:val="21"/>
                <w:u w:val="single"/>
                <w:lang w:val="en-US" w:eastAsia="zh-CN"/>
              </w:rPr>
              <w:t>7</w:t>
            </w:r>
            <w:r>
              <w:rPr>
                <w:rFonts w:hint="eastAsia" w:ascii="仿宋" w:hAnsi="仿宋" w:eastAsia="仿宋"/>
                <w:bCs/>
                <w:szCs w:val="21"/>
                <w:u w:val="single"/>
              </w:rPr>
              <w:t xml:space="preserve"> 个自然日前，投资者不能提起赎回申请；从该日起（含）之后每个开放日，客户可提交赎回申请，若该日为非开放日，则顺延至下一开放日。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申购及赎回</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投资者可在产品开放日的开放时间提出申购申请；</w:t>
            </w:r>
            <w:r>
              <w:rPr>
                <w:rFonts w:hint="eastAsia" w:ascii="仿宋" w:hAnsi="仿宋" w:eastAsia="仿宋"/>
                <w:b/>
                <w:szCs w:val="21"/>
              </w:rPr>
              <w:t>投资者仅可在满足最短持有期后，在产品开放日的开放时间提出赎回申请。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预约购买及</w:t>
            </w:r>
          </w:p>
          <w:p>
            <w:pPr>
              <w:adjustRightInd w:val="0"/>
              <w:snapToGrid w:val="0"/>
              <w:spacing w:line="240" w:lineRule="atLeast"/>
              <w:jc w:val="center"/>
              <w:rPr>
                <w:rFonts w:ascii="仿宋" w:hAnsi="仿宋" w:eastAsia="仿宋"/>
                <w:bCs/>
                <w:szCs w:val="21"/>
              </w:rPr>
            </w:pPr>
            <w:r>
              <w:rPr>
                <w:rFonts w:ascii="仿宋" w:hAnsi="仿宋" w:eastAsia="仿宋"/>
                <w:bCs/>
                <w:szCs w:val="21"/>
              </w:rPr>
              <w:t>预约赎回</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本产品不支持预约购买。</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 xml:space="preserve">最短持有期内最后一个工作日 </w:t>
            </w:r>
            <w:r>
              <w:rPr>
                <w:rFonts w:ascii="仿宋" w:hAnsi="仿宋" w:eastAsia="仿宋"/>
                <w:u w:val="single"/>
              </w:rPr>
              <w:t>15</w:t>
            </w:r>
            <w:r>
              <w:rPr>
                <w:rFonts w:hint="eastAsia" w:ascii="仿宋" w:hAnsi="仿宋" w:eastAsia="仿宋"/>
                <w:u w:val="single"/>
              </w:rPr>
              <w:t>:</w:t>
            </w:r>
            <w:r>
              <w:rPr>
                <w:rFonts w:ascii="仿宋" w:hAnsi="仿宋" w:eastAsia="仿宋"/>
                <w:u w:val="single"/>
              </w:rPr>
              <w:t>3</w:t>
            </w:r>
            <w:r>
              <w:rPr>
                <w:rFonts w:hint="eastAsia" w:ascii="仿宋" w:hAnsi="仿宋" w:eastAsia="仿宋"/>
                <w:u w:val="single"/>
              </w:rPr>
              <w:t>0（不含）</w:t>
            </w:r>
            <w:r>
              <w:rPr>
                <w:rFonts w:ascii="仿宋" w:hAnsi="仿宋" w:eastAsia="仿宋"/>
                <w:bCs/>
                <w:szCs w:val="21"/>
              </w:rPr>
              <w:t xml:space="preserve"> </w:t>
            </w:r>
            <w:r>
              <w:rPr>
                <w:rFonts w:hint="eastAsia" w:ascii="仿宋" w:hAnsi="仿宋" w:eastAsia="仿宋"/>
                <w:bCs/>
                <w:szCs w:val="21"/>
              </w:rPr>
              <w:t>前，可接受通过</w:t>
            </w:r>
            <w:r>
              <w:rPr>
                <w:rFonts w:ascii="仿宋" w:hAnsi="仿宋" w:eastAsia="仿宋"/>
                <w:bCs/>
                <w:szCs w:val="21"/>
              </w:rPr>
              <w:t>华夏</w:t>
            </w:r>
            <w:r>
              <w:rPr>
                <w:rFonts w:hint="eastAsia" w:ascii="仿宋" w:hAnsi="仿宋" w:eastAsia="仿宋"/>
                <w:bCs/>
                <w:szCs w:val="21"/>
              </w:rPr>
              <w:t>银行/华夏理财</w:t>
            </w:r>
            <w:r>
              <w:rPr>
                <w:rFonts w:ascii="仿宋" w:hAnsi="仿宋" w:eastAsia="仿宋"/>
                <w:bCs/>
                <w:szCs w:val="21"/>
              </w:rPr>
              <w:t>购买的投资者</w:t>
            </w:r>
            <w:r>
              <w:rPr>
                <w:rFonts w:hint="eastAsia" w:ascii="仿宋" w:hAnsi="仿宋" w:eastAsia="仿宋"/>
                <w:bCs/>
                <w:szCs w:val="21"/>
              </w:rPr>
              <w:t>预约赎回申请，视</w:t>
            </w:r>
            <w:r>
              <w:rPr>
                <w:rFonts w:ascii="仿宋" w:hAnsi="仿宋" w:eastAsia="仿宋"/>
                <w:bCs/>
                <w:szCs w:val="21"/>
              </w:rPr>
              <w:t>同在</w:t>
            </w:r>
            <w:r>
              <w:rPr>
                <w:rFonts w:hint="eastAsia" w:ascii="仿宋" w:hAnsi="仿宋" w:eastAsia="仿宋"/>
                <w:bCs/>
                <w:szCs w:val="21"/>
              </w:rPr>
              <w:t>第一个可赎回的开放日开放时间内提交的赎回申请。</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申购</w:t>
            </w:r>
            <w:r>
              <w:rPr>
                <w:rFonts w:ascii="仿宋" w:hAnsi="仿宋" w:eastAsia="仿宋"/>
                <w:bCs/>
                <w:szCs w:val="21"/>
              </w:rPr>
              <w:t>，</w:t>
            </w:r>
            <w:r>
              <w:rPr>
                <w:rFonts w:hint="eastAsia" w:ascii="仿宋" w:hAnsi="仿宋" w:eastAsia="仿宋"/>
                <w:bCs/>
                <w:szCs w:val="21"/>
              </w:rPr>
              <w:t>T+</w:t>
            </w:r>
            <w:r>
              <w:rPr>
                <w:rFonts w:ascii="仿宋" w:hAnsi="仿宋" w:eastAsia="仿宋"/>
                <w:bCs/>
                <w:szCs w:val="21"/>
              </w:rPr>
              <w:t>1日确认。T日为开放日。</w:t>
            </w:r>
            <w:r>
              <w:rPr>
                <w:rFonts w:hint="eastAsia" w:ascii="仿宋" w:hAnsi="仿宋" w:eastAsia="仿宋"/>
                <w:bCs/>
                <w:szCs w:val="21"/>
              </w:rPr>
              <w:t>通过华夏银行/华夏理财购买的，T日扣款；通过其他代销机构购买的，扣款规则以代销机构规定为准。</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以申购申请日的日终份额净值确认，按照“金额申购”的原则计算申购份额。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赎回确认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T日赎回，</w:t>
            </w:r>
            <w:r>
              <w:rPr>
                <w:rFonts w:hint="eastAsia" w:ascii="仿宋" w:hAnsi="仿宋" w:eastAsia="仿宋"/>
                <w:bCs/>
                <w:szCs w:val="21"/>
              </w:rPr>
              <w:t>T+</w:t>
            </w:r>
            <w:r>
              <w:rPr>
                <w:rFonts w:ascii="仿宋" w:hAnsi="仿宋" w:eastAsia="仿宋"/>
                <w:bCs/>
                <w:szCs w:val="21"/>
              </w:rPr>
              <w:t>1日确认</w:t>
            </w:r>
            <w:r>
              <w:rPr>
                <w:rFonts w:hint="eastAsia"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color w:val="FF6600"/>
                <w:szCs w:val="21"/>
              </w:rPr>
            </w:pPr>
            <w:r>
              <w:rPr>
                <w:rFonts w:hint="eastAsia" w:ascii="仿宋" w:hAnsi="仿宋" w:eastAsia="仿宋"/>
                <w:bCs/>
                <w:szCs w:val="21"/>
              </w:rPr>
              <w:t>通过华夏理财赎回的，投资者</w:t>
            </w:r>
            <w:r>
              <w:rPr>
                <w:rFonts w:ascii="仿宋" w:hAnsi="仿宋" w:eastAsia="仿宋"/>
                <w:bCs/>
                <w:szCs w:val="21"/>
              </w:rPr>
              <w:t>赎回资金</w:t>
            </w:r>
            <w:r>
              <w:rPr>
                <w:rFonts w:hint="eastAsia" w:ascii="仿宋" w:hAnsi="仿宋" w:eastAsia="仿宋"/>
                <w:bCs/>
                <w:szCs w:val="21"/>
              </w:rPr>
              <w:t>于T+</w:t>
            </w:r>
            <w:r>
              <w:rPr>
                <w:rFonts w:hint="eastAsia" w:ascii="仿宋" w:hAnsi="仿宋" w:eastAsia="仿宋"/>
                <w:bCs/>
                <w:szCs w:val="21"/>
                <w:lang w:val="en-US" w:eastAsia="zh-CN"/>
              </w:rPr>
              <w:t>1</w:t>
            </w:r>
            <w:r>
              <w:rPr>
                <w:rFonts w:hint="eastAsia" w:ascii="仿宋" w:hAnsi="仿宋" w:eastAsia="仿宋"/>
                <w:bCs/>
                <w:szCs w:val="21"/>
              </w:rPr>
              <w:t>日（内）</w:t>
            </w:r>
            <w:r>
              <w:rPr>
                <w:rFonts w:ascii="仿宋" w:hAnsi="仿宋" w:eastAsia="仿宋"/>
                <w:bCs/>
                <w:szCs w:val="21"/>
              </w:rPr>
              <w:t>到账</w:t>
            </w:r>
            <w:r>
              <w:rPr>
                <w:rFonts w:hint="eastAsia" w:ascii="仿宋" w:hAnsi="仿宋" w:eastAsia="仿宋"/>
                <w:bCs/>
                <w:szCs w:val="21"/>
              </w:rPr>
              <w:t>；通过华夏银行赎回的，投资者</w:t>
            </w:r>
            <w:r>
              <w:rPr>
                <w:rFonts w:ascii="仿宋" w:hAnsi="仿宋" w:eastAsia="仿宋"/>
                <w:bCs/>
                <w:szCs w:val="21"/>
              </w:rPr>
              <w:t>赎回资金</w:t>
            </w:r>
            <w:r>
              <w:rPr>
                <w:rFonts w:hint="eastAsia" w:ascii="仿宋" w:hAnsi="仿宋" w:eastAsia="仿宋"/>
                <w:bCs/>
                <w:szCs w:val="21"/>
              </w:rPr>
              <w:t>于T+</w:t>
            </w:r>
            <w:r>
              <w:rPr>
                <w:rFonts w:hint="eastAsia" w:ascii="仿宋" w:hAnsi="仿宋" w:eastAsia="仿宋"/>
                <w:bCs/>
                <w:szCs w:val="21"/>
                <w:lang w:val="en-US" w:eastAsia="zh-CN"/>
              </w:rPr>
              <w:t>1</w:t>
            </w:r>
            <w:r>
              <w:rPr>
                <w:rFonts w:hint="eastAsia" w:ascii="仿宋" w:hAnsi="仿宋" w:eastAsia="仿宋"/>
                <w:bCs/>
                <w:szCs w:val="21"/>
              </w:rPr>
              <w:t>日（内）</w:t>
            </w:r>
            <w:r>
              <w:rPr>
                <w:rFonts w:ascii="仿宋" w:hAnsi="仿宋" w:eastAsia="仿宋"/>
                <w:bCs/>
                <w:szCs w:val="21"/>
              </w:rPr>
              <w:t>到账</w:t>
            </w:r>
            <w:r>
              <w:rPr>
                <w:rFonts w:hint="eastAsia" w:ascii="仿宋" w:hAnsi="仿宋" w:eastAsia="仿宋"/>
                <w:bCs/>
                <w:szCs w:val="21"/>
              </w:rPr>
              <w:t>；通过其他代销机构赎回的，投资者赎回资金的具体到账账户、到账日及到账时间以代销机构划付规定为准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
                <w:szCs w:val="21"/>
              </w:rPr>
            </w:pPr>
            <w:r>
              <w:rPr>
                <w:rFonts w:ascii="仿宋" w:hAnsi="仿宋" w:eastAsia="仿宋"/>
                <w:bCs/>
                <w:szCs w:val="21"/>
              </w:rPr>
              <w:t>本理财产品采取份额赎回的方式。投资者可选择全额或部分赎回，部分赎回后投资者持有本理财产品的</w:t>
            </w:r>
            <w:r>
              <w:rPr>
                <w:rFonts w:hint="eastAsia" w:ascii="仿宋" w:hAnsi="仿宋" w:eastAsia="仿宋"/>
                <w:bCs/>
                <w:szCs w:val="21"/>
              </w:rPr>
              <w:t>日末余额</w:t>
            </w:r>
            <w:r>
              <w:rPr>
                <w:rFonts w:ascii="仿宋" w:hAnsi="仿宋" w:eastAsia="仿宋"/>
                <w:bCs/>
                <w:szCs w:val="21"/>
              </w:rPr>
              <w:t>低于理财账户最低保留</w:t>
            </w:r>
            <w:r>
              <w:rPr>
                <w:rFonts w:hint="eastAsia" w:ascii="仿宋" w:hAnsi="仿宋" w:eastAsia="仿宋"/>
                <w:bCs/>
                <w:szCs w:val="21"/>
              </w:rPr>
              <w:t>限</w:t>
            </w:r>
            <w:r>
              <w:rPr>
                <w:rFonts w:ascii="仿宋" w:hAnsi="仿宋" w:eastAsia="仿宋"/>
                <w:bCs/>
                <w:szCs w:val="21"/>
              </w:rPr>
              <w:t>额</w:t>
            </w:r>
            <w:r>
              <w:rPr>
                <w:rFonts w:hint="eastAsia" w:ascii="仿宋" w:hAnsi="仿宋" w:eastAsia="仿宋"/>
                <w:bCs/>
                <w:szCs w:val="21"/>
              </w:rPr>
              <w:t>时</w:t>
            </w:r>
            <w:r>
              <w:rPr>
                <w:rFonts w:ascii="仿宋" w:hAnsi="仿宋" w:eastAsia="仿宋"/>
                <w:bCs/>
                <w:szCs w:val="21"/>
              </w:rPr>
              <w:t>，</w:t>
            </w:r>
            <w:r>
              <w:rPr>
                <w:rFonts w:hint="eastAsia" w:ascii="仿宋" w:hAnsi="仿宋" w:eastAsia="仿宋"/>
                <w:b/>
                <w:szCs w:val="21"/>
              </w:rPr>
              <w:t>华夏理财将在赎回确认日末对投资者的剩余份额发起强制赎回</w:t>
            </w:r>
            <w:r>
              <w:rPr>
                <w:rFonts w:ascii="仿宋" w:hAnsi="仿宋" w:eastAsia="仿宋"/>
                <w:b/>
                <w:szCs w:val="21"/>
              </w:rPr>
              <w:t>。</w:t>
            </w:r>
          </w:p>
          <w:p>
            <w:pPr>
              <w:adjustRightInd w:val="0"/>
              <w:snapToGrid w:val="0"/>
              <w:spacing w:line="240" w:lineRule="atLeast"/>
              <w:ind w:right="-44" w:firstLine="422" w:firstLineChars="200"/>
              <w:jc w:val="left"/>
              <w:rPr>
                <w:rFonts w:ascii="仿宋" w:hAnsi="仿宋" w:eastAsia="仿宋"/>
                <w:b/>
                <w:szCs w:val="21"/>
              </w:rPr>
            </w:pPr>
            <w:r>
              <w:rPr>
                <w:rFonts w:hint="eastAsia" w:ascii="仿宋" w:hAnsi="仿宋" w:eastAsia="仿宋"/>
                <w:b/>
                <w:szCs w:val="21"/>
              </w:rPr>
              <w:t>若客户在同一开放日提交申购和赎回原持有份额的交易申请，经申购和赎回交易确认后的日末余额低于理财账户最低保留限额时，华夏理财将在赎回确认日末对投资者的剩余份额发起强制赎回。</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代销机构如另有规定，从其规定。</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本产品赎回遵循“先进先出”原则。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赎回金额的计算</w:t>
            </w:r>
          </w:p>
        </w:tc>
        <w:tc>
          <w:tcPr>
            <w:tcW w:w="7404" w:type="dxa"/>
            <w:tcBorders>
              <w:top w:val="single" w:color="auto" w:sz="4" w:space="0"/>
              <w:left w:val="single" w:color="auto" w:sz="4" w:space="0"/>
              <w:bottom w:val="single" w:color="auto" w:sz="4" w:space="0"/>
              <w:right w:val="single" w:color="auto" w:sz="4" w:space="0"/>
            </w:tcBorders>
            <w:vAlign w:val="center"/>
          </w:tcPr>
          <w:p>
            <w:pPr>
              <w:spacing w:line="240" w:lineRule="atLeast"/>
              <w:ind w:firstLine="420" w:firstLineChars="200"/>
              <w:rPr>
                <w:rFonts w:ascii="仿宋" w:hAnsi="仿宋" w:eastAsia="仿宋"/>
                <w:bCs/>
                <w:szCs w:val="21"/>
                <w:u w:val="single"/>
              </w:rPr>
            </w:pPr>
            <w:r>
              <w:rPr>
                <w:rFonts w:ascii="仿宋" w:hAnsi="仿宋" w:eastAsia="仿宋"/>
                <w:bCs/>
                <w:szCs w:val="21"/>
              </w:rPr>
              <w:t>赎回金额＝赎回份额×赎回</w:t>
            </w:r>
            <w:r>
              <w:rPr>
                <w:rFonts w:hint="eastAsia" w:ascii="仿宋" w:hAnsi="仿宋" w:eastAsia="仿宋"/>
                <w:bCs/>
                <w:szCs w:val="21"/>
              </w:rPr>
              <w:t xml:space="preserve">申请日的产品份额净值，保留到小数点后 2 </w:t>
            </w:r>
            <w:r>
              <w:rPr>
                <w:rFonts w:hint="eastAsia" w:ascii="仿宋" w:hAnsi="仿宋" w:eastAsia="仿宋"/>
                <w:bCs/>
                <w:szCs w:val="21"/>
                <w:u w:val="single"/>
              </w:rPr>
              <w:t xml:space="preserve">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到期/终止的理财本金</w:t>
            </w:r>
            <w:r>
              <w:rPr>
                <w:rFonts w:ascii="仿宋" w:hAnsi="仿宋" w:eastAsia="仿宋"/>
                <w:bCs/>
                <w:szCs w:val="21"/>
              </w:rPr>
              <w:t>及</w:t>
            </w:r>
            <w:r>
              <w:rPr>
                <w:rFonts w:hint="eastAsia" w:ascii="仿宋" w:hAnsi="仿宋" w:eastAsia="仿宋"/>
                <w:bCs/>
                <w:szCs w:val="21"/>
              </w:rPr>
              <w:t>收益</w:t>
            </w:r>
          </w:p>
          <w:p>
            <w:pPr>
              <w:adjustRightInd w:val="0"/>
              <w:snapToGrid w:val="0"/>
              <w:spacing w:line="240" w:lineRule="atLeast"/>
              <w:jc w:val="center"/>
              <w:rPr>
                <w:rFonts w:ascii="仿宋" w:hAnsi="仿宋" w:eastAsia="仿宋"/>
                <w:bCs/>
                <w:szCs w:val="21"/>
              </w:rPr>
            </w:pP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客户到期/终止本金及收益金额=∑（每笔份额*到期/终止日的产品份额净值），每笔金额计算保留到小数点后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认购/申购/赎回申请拒绝</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华夏理财根据市场情况或理财产品实际投资运作的情况确定理财产品规模上限（代销机构可控制自身销售额度），若本理财产品余额超过产品规模上限，</w:t>
            </w:r>
            <w:r>
              <w:rPr>
                <w:rFonts w:hint="eastAsia" w:ascii="仿宋" w:hAnsi="仿宋" w:eastAsia="仿宋"/>
                <w:b/>
                <w:bCs/>
                <w:szCs w:val="21"/>
              </w:rPr>
              <w:t>华夏理财有权在成立日/申购确认日采取比例确认等方式对购买申请给予部分确认。</w:t>
            </w:r>
          </w:p>
          <w:p>
            <w:pPr>
              <w:tabs>
                <w:tab w:val="left" w:pos="720"/>
              </w:tabs>
              <w:adjustRightInd w:val="0"/>
              <w:snapToGrid w:val="0"/>
              <w:spacing w:line="300" w:lineRule="exact"/>
              <w:ind w:firstLine="422" w:firstLineChars="200"/>
              <w:rPr>
                <w:rFonts w:ascii="仿宋" w:hAnsi="仿宋" w:eastAsia="仿宋"/>
                <w:bCs/>
                <w:szCs w:val="21"/>
              </w:rPr>
            </w:pPr>
            <w:r>
              <w:rPr>
                <w:rFonts w:hint="eastAsia" w:ascii="仿宋" w:hAnsi="仿宋" w:eastAsia="仿宋"/>
                <w:b/>
                <w:szCs w:val="21"/>
              </w:rPr>
              <w:t>华夏理财认为接受大额认购/申购申请可能会影响或损害理财产品投资者权益时，有权拒绝或暂停该认购/申购申请。</w:t>
            </w:r>
          </w:p>
          <w:p>
            <w:pPr>
              <w:spacing w:line="240" w:lineRule="atLeast"/>
              <w:rPr>
                <w:rFonts w:ascii="仿宋" w:hAnsi="仿宋" w:eastAsia="仿宋"/>
                <w:bCs/>
                <w:szCs w:val="21"/>
              </w:rPr>
            </w:pPr>
            <w:r>
              <w:rPr>
                <w:rFonts w:hint="eastAsia" w:ascii="仿宋" w:hAnsi="仿宋" w:eastAsia="仿宋"/>
                <w:bCs/>
                <w:szCs w:val="21"/>
              </w:rPr>
              <w:t xml:space="preserve">    若因超过产品规模上限或</w:t>
            </w:r>
            <w:r>
              <w:rPr>
                <w:rFonts w:ascii="仿宋" w:hAnsi="仿宋" w:eastAsia="仿宋"/>
                <w:bCs/>
                <w:szCs w:val="21"/>
              </w:rPr>
              <w:t>发生巨额赎回</w:t>
            </w:r>
            <w:r>
              <w:rPr>
                <w:rFonts w:hint="eastAsia" w:ascii="仿宋" w:hAnsi="仿宋" w:eastAsia="仿宋"/>
                <w:bCs/>
                <w:szCs w:val="21"/>
              </w:rPr>
              <w:t>,华夏理财拒绝、延期办理或部分接受客户的认购/申购/赎回</w:t>
            </w:r>
            <w:r>
              <w:rPr>
                <w:rFonts w:ascii="仿宋" w:hAnsi="仿宋" w:eastAsia="仿宋"/>
                <w:bCs/>
                <w:szCs w:val="21"/>
              </w:rPr>
              <w:t>申请时，</w:t>
            </w:r>
            <w:r>
              <w:rPr>
                <w:rFonts w:hint="eastAsia" w:ascii="仿宋" w:hAnsi="仿宋" w:eastAsia="仿宋"/>
                <w:bCs/>
                <w:szCs w:val="21"/>
              </w:rPr>
              <w:t>华夏理财于</w:t>
            </w:r>
            <w:r>
              <w:rPr>
                <w:rFonts w:ascii="仿宋" w:hAnsi="仿宋" w:eastAsia="仿宋"/>
                <w:bCs/>
                <w:szCs w:val="21"/>
              </w:rPr>
              <w:t>3</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巨额赎回</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ascii="仿宋" w:hAnsi="仿宋" w:eastAsia="仿宋"/>
                <w:bCs/>
                <w:szCs w:val="21"/>
              </w:rPr>
              <w:t>单个开放日中，本</w:t>
            </w:r>
            <w:r>
              <w:rPr>
                <w:rFonts w:hint="eastAsia" w:ascii="仿宋" w:hAnsi="仿宋" w:eastAsia="仿宋"/>
                <w:bCs/>
                <w:szCs w:val="21"/>
              </w:rPr>
              <w:t>理财</w:t>
            </w:r>
            <w:r>
              <w:rPr>
                <w:rFonts w:ascii="仿宋" w:hAnsi="仿宋" w:eastAsia="仿宋"/>
                <w:bCs/>
                <w:szCs w:val="21"/>
              </w:rPr>
              <w:t>产品的净赎回申请</w:t>
            </w:r>
            <w:r>
              <w:rPr>
                <w:rFonts w:hint="eastAsia" w:ascii="仿宋" w:hAnsi="仿宋" w:eastAsia="仿宋"/>
                <w:bCs/>
                <w:szCs w:val="21"/>
              </w:rPr>
              <w:t>份额</w:t>
            </w:r>
            <w:r>
              <w:rPr>
                <w:rFonts w:ascii="仿宋" w:hAnsi="仿宋" w:eastAsia="仿宋"/>
                <w:bCs/>
                <w:szCs w:val="21"/>
              </w:rPr>
              <w:t>（赎回申请总份额扣除申购</w:t>
            </w:r>
            <w:r>
              <w:rPr>
                <w:rFonts w:hint="eastAsia" w:ascii="仿宋" w:hAnsi="仿宋" w:eastAsia="仿宋"/>
                <w:bCs/>
                <w:szCs w:val="21"/>
              </w:rPr>
              <w:t>申请</w:t>
            </w:r>
            <w:r>
              <w:rPr>
                <w:rFonts w:ascii="仿宋" w:hAnsi="仿宋" w:eastAsia="仿宋"/>
                <w:bCs/>
                <w:szCs w:val="21"/>
              </w:rPr>
              <w:t>总份额后的余额）超过上一日产品总份额的</w:t>
            </w:r>
            <w:r>
              <w:rPr>
                <w:rFonts w:ascii="仿宋" w:hAnsi="仿宋" w:eastAsia="仿宋"/>
                <w:bCs/>
                <w:szCs w:val="21"/>
                <w:u w:val="single"/>
              </w:rPr>
              <w:t xml:space="preserve"> 10</w:t>
            </w:r>
            <w:r>
              <w:rPr>
                <w:rFonts w:ascii="仿宋" w:hAnsi="仿宋" w:eastAsia="仿宋"/>
                <w:bCs/>
                <w:szCs w:val="21"/>
              </w:rPr>
              <w:t>%为巨额赎回</w:t>
            </w:r>
            <w:r>
              <w:rPr>
                <w:rFonts w:hint="eastAsia" w:ascii="仿宋" w:hAnsi="仿宋" w:eastAsia="仿宋"/>
                <w:bCs/>
                <w:szCs w:val="21"/>
              </w:rPr>
              <w:t>。</w:t>
            </w:r>
          </w:p>
          <w:p>
            <w:pPr>
              <w:tabs>
                <w:tab w:val="left" w:pos="720"/>
              </w:tabs>
              <w:autoSpaceDE w:val="0"/>
              <w:autoSpaceDN w:val="0"/>
              <w:adjustRightInd w:val="0"/>
              <w:snapToGrid w:val="0"/>
              <w:spacing w:line="240" w:lineRule="atLeast"/>
              <w:ind w:right="18" w:firstLine="422" w:firstLineChars="200"/>
              <w:rPr>
                <w:rFonts w:ascii="仿宋" w:hAnsi="仿宋" w:eastAsia="仿宋"/>
                <w:b/>
                <w:szCs w:val="21"/>
              </w:rPr>
            </w:pPr>
            <w:r>
              <w:rPr>
                <w:rFonts w:hint="eastAsia" w:ascii="仿宋" w:hAnsi="仿宋" w:eastAsia="仿宋"/>
                <w:b/>
                <w:szCs w:val="21"/>
              </w:rPr>
              <w:t>如发生巨额赎回，</w:t>
            </w:r>
            <w:r>
              <w:rPr>
                <w:rFonts w:ascii="仿宋" w:hAnsi="仿宋" w:eastAsia="仿宋"/>
                <w:b/>
                <w:szCs w:val="21"/>
              </w:rPr>
              <w:t>管理人</w:t>
            </w:r>
            <w:r>
              <w:rPr>
                <w:rFonts w:hint="eastAsia" w:ascii="仿宋" w:hAnsi="仿宋" w:eastAsia="仿宋"/>
                <w:b/>
                <w:szCs w:val="21"/>
              </w:rPr>
              <w:t>当日办理的赎回份额不低于前一日终理财产品总份额的10%。</w:t>
            </w:r>
          </w:p>
          <w:p>
            <w:pPr>
              <w:tabs>
                <w:tab w:val="left" w:pos="720"/>
              </w:tabs>
              <w:adjustRightInd w:val="0"/>
              <w:snapToGrid w:val="0"/>
              <w:spacing w:line="300" w:lineRule="exact"/>
              <w:ind w:firstLine="422" w:firstLineChars="200"/>
              <w:rPr>
                <w:rFonts w:ascii="仿宋" w:hAnsi="仿宋" w:eastAsia="仿宋"/>
                <w:bCs/>
                <w:szCs w:val="21"/>
              </w:rPr>
            </w:pPr>
            <w:r>
              <w:rPr>
                <w:rFonts w:ascii="仿宋" w:hAnsi="仿宋" w:eastAsia="仿宋"/>
                <w:b/>
                <w:szCs w:val="21"/>
              </w:rPr>
              <w:t>管理人</w:t>
            </w:r>
            <w:r>
              <w:rPr>
                <w:rFonts w:hint="eastAsia" w:ascii="仿宋" w:hAnsi="仿宋" w:eastAsia="仿宋"/>
                <w:b/>
                <w:bCs/>
                <w:szCs w:val="21"/>
              </w:rPr>
              <w:t>有权</w:t>
            </w:r>
            <w:r>
              <w:rPr>
                <w:rFonts w:hint="eastAsia" w:ascii="仿宋" w:hAnsi="仿宋" w:eastAsia="仿宋"/>
                <w:b/>
                <w:szCs w:val="21"/>
              </w:rPr>
              <w:t>对其余的赎回申请</w:t>
            </w:r>
            <w:r>
              <w:rPr>
                <w:rFonts w:hint="eastAsia" w:ascii="仿宋" w:hAnsi="仿宋" w:eastAsia="仿宋"/>
                <w:b/>
                <w:bCs/>
                <w:szCs w:val="21"/>
              </w:rPr>
              <w:t>采取</w:t>
            </w:r>
            <w:r>
              <w:rPr>
                <w:rFonts w:hint="eastAsia" w:ascii="仿宋" w:hAnsi="仿宋" w:eastAsia="仿宋"/>
                <w:b/>
                <w:szCs w:val="21"/>
              </w:rPr>
              <w:t>暂停接受的</w:t>
            </w:r>
            <w:r>
              <w:rPr>
                <w:rFonts w:ascii="仿宋" w:hAnsi="仿宋" w:eastAsia="仿宋"/>
                <w:b/>
                <w:szCs w:val="21"/>
              </w:rPr>
              <w:t>应对措施。</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投资者可撤销已提交的认购申请，具体规定如下：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rPr>
              <w:t>1）只能全额撤销。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rPr>
              <w:t>2个工作日内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w:t>
            </w:r>
            <w:r>
              <w:rPr>
                <w:rFonts w:hint="eastAsia" w:ascii="仿宋" w:hAnsi="仿宋" w:eastAsia="仿宋"/>
                <w:lang w:val="en-US" w:eastAsia="zh-CN"/>
              </w:rPr>
              <w:t>5</w:t>
            </w:r>
            <w:r>
              <w:rPr>
                <w:rFonts w:hint="eastAsia" w:ascii="仿宋" w:hAnsi="仿宋" w:eastAsia="仿宋"/>
              </w:rPr>
              <w:t>:30（含）之后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（5</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w:t>
            </w:r>
            <w:r>
              <w:rPr>
                <w:rFonts w:hint="eastAsia" w:ascii="仿宋" w:hAnsi="仿宋" w:eastAsia="仿宋"/>
                <w:lang w:val="en-US" w:eastAsia="zh-CN"/>
              </w:rPr>
              <w:t>5</w:t>
            </w:r>
            <w:r>
              <w:rPr>
                <w:rFonts w:hint="eastAsia" w:ascii="仿宋" w:hAnsi="仿宋" w:eastAsia="仿宋"/>
              </w:rPr>
              <w:t>:30（含）之后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（6</w:t>
            </w: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2.开放日申购、赎回撤销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投资者可于开放日开放时间内撤销当日已提交的申购、赎回申请，具体规定如下：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rPr>
              <w:t>1）只能全额撤销。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申购的，投资者撤销申购的本金在</w:t>
            </w:r>
            <w:r>
              <w:rPr>
                <w:rFonts w:ascii="仿宋" w:hAnsi="仿宋" w:eastAsia="仿宋"/>
                <w:bCs/>
                <w:szCs w:val="21"/>
              </w:rPr>
              <w:t xml:space="preserve"> 2个工作日内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）通过华夏银行申购的，投资者撤销申购的本金实时到账。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rPr>
              <w:t>开放日15:</w:t>
            </w:r>
            <w:r>
              <w:rPr>
                <w:rFonts w:ascii="仿宋" w:hAnsi="仿宋" w:eastAsia="仿宋"/>
              </w:rPr>
              <w:t>30</w:t>
            </w:r>
            <w:r>
              <w:rPr>
                <w:rFonts w:hint="eastAsia" w:ascii="仿宋" w:hAnsi="仿宋" w:eastAsia="仿宋"/>
              </w:rPr>
              <w:t>（含）之后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（5</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rPr>
              <w:t>开放日15:</w:t>
            </w:r>
            <w:r>
              <w:rPr>
                <w:rFonts w:ascii="仿宋" w:hAnsi="仿宋" w:eastAsia="仿宋"/>
              </w:rPr>
              <w:t>30</w:t>
            </w:r>
            <w:r>
              <w:rPr>
                <w:rFonts w:hint="eastAsia" w:ascii="仿宋" w:hAnsi="仿宋" w:eastAsia="仿宋"/>
              </w:rPr>
              <w:t>（含）之后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（6</w:t>
            </w:r>
            <w:r>
              <w:rPr>
                <w:rFonts w:hint="eastAsia" w:ascii="仿宋" w:hAnsi="仿宋" w:eastAsia="仿宋"/>
                <w:bCs/>
                <w:szCs w:val="21"/>
              </w:rPr>
              <w:t>）通过其他代销机构申购的，撤销规定以代销机构规定为准。</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3.预约</w:t>
            </w:r>
            <w:r>
              <w:rPr>
                <w:rFonts w:ascii="仿宋" w:hAnsi="仿宋" w:eastAsia="仿宋"/>
                <w:bCs/>
                <w:szCs w:val="21"/>
              </w:rPr>
              <w:t>申购、</w:t>
            </w:r>
            <w:r>
              <w:rPr>
                <w:rFonts w:hint="eastAsia" w:ascii="仿宋" w:hAnsi="仿宋" w:eastAsia="仿宋"/>
                <w:bCs/>
                <w:szCs w:val="21"/>
              </w:rPr>
              <w:t>预约</w:t>
            </w:r>
            <w:r>
              <w:rPr>
                <w:rFonts w:ascii="仿宋" w:hAnsi="仿宋" w:eastAsia="仿宋"/>
                <w:bCs/>
                <w:szCs w:val="21"/>
              </w:rPr>
              <w:t>赎回撤销</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通过华夏银行/华夏理财购买的，封闭期内的最后</w:t>
            </w:r>
            <w:r>
              <w:rPr>
                <w:rFonts w:ascii="仿宋" w:hAnsi="仿宋" w:eastAsia="仿宋"/>
                <w:bCs/>
                <w:szCs w:val="21"/>
              </w:rPr>
              <w:t>一</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bCs/>
                <w:szCs w:val="21"/>
              </w:rPr>
              <w:t xml:space="preserve"> </w:t>
            </w:r>
            <w:r>
              <w:rPr>
                <w:rFonts w:ascii="仿宋" w:hAnsi="仿宋" w:eastAsia="仿宋"/>
                <w:bCs/>
                <w:szCs w:val="21"/>
                <w:u w:val="single"/>
              </w:rPr>
              <w:t>15:30</w:t>
            </w:r>
            <w:r>
              <w:rPr>
                <w:rFonts w:hint="eastAsia" w:ascii="仿宋" w:hAnsi="仿宋" w:eastAsia="仿宋"/>
                <w:bCs/>
                <w:szCs w:val="21"/>
                <w:u w:val="single"/>
              </w:rPr>
              <w:t>（不含）</w:t>
            </w:r>
            <w:r>
              <w:rPr>
                <w:rFonts w:hint="eastAsia" w:ascii="仿宋" w:hAnsi="仿宋" w:eastAsia="仿宋"/>
                <w:bCs/>
                <w:szCs w:val="21"/>
              </w:rPr>
              <w:t>前</w:t>
            </w:r>
            <w:r>
              <w:rPr>
                <w:rFonts w:ascii="仿宋" w:hAnsi="仿宋" w:eastAsia="仿宋"/>
                <w:bCs/>
                <w:szCs w:val="21"/>
              </w:rPr>
              <w:t>，</w:t>
            </w:r>
            <w:r>
              <w:rPr>
                <w:rFonts w:hint="eastAsia" w:ascii="仿宋" w:hAnsi="仿宋" w:eastAsia="仿宋"/>
                <w:bCs/>
                <w:szCs w:val="21"/>
              </w:rPr>
              <w:t>投资</w:t>
            </w:r>
            <w:r>
              <w:rPr>
                <w:rFonts w:ascii="仿宋" w:hAnsi="仿宋" w:eastAsia="仿宋"/>
                <w:bCs/>
                <w:szCs w:val="21"/>
              </w:rPr>
              <w:t>者</w:t>
            </w:r>
            <w:r>
              <w:rPr>
                <w:rFonts w:hint="eastAsia" w:ascii="仿宋" w:hAnsi="仿宋" w:eastAsia="仿宋"/>
                <w:bCs/>
                <w:szCs w:val="21"/>
              </w:rPr>
              <w:t>可</w:t>
            </w:r>
            <w:r>
              <w:rPr>
                <w:rFonts w:ascii="仿宋" w:hAnsi="仿宋" w:eastAsia="仿宋"/>
                <w:bCs/>
                <w:szCs w:val="21"/>
              </w:rPr>
              <w:t>全额撤销已提交的</w:t>
            </w:r>
            <w:r>
              <w:rPr>
                <w:rFonts w:hint="eastAsia" w:ascii="仿宋" w:hAnsi="仿宋" w:eastAsia="仿宋"/>
                <w:bCs/>
                <w:szCs w:val="21"/>
              </w:rPr>
              <w:t>预约</w:t>
            </w:r>
            <w:r>
              <w:rPr>
                <w:rFonts w:ascii="仿宋" w:hAnsi="仿宋" w:eastAsia="仿宋"/>
                <w:bCs/>
                <w:szCs w:val="21"/>
              </w:rPr>
              <w:t>购买</w:t>
            </w:r>
            <w:r>
              <w:rPr>
                <w:rFonts w:hint="eastAsia" w:ascii="仿宋" w:hAnsi="仿宋" w:eastAsia="仿宋"/>
                <w:bCs/>
                <w:szCs w:val="21"/>
              </w:rPr>
              <w:t>、预约赎回申请；通过其他代销机构购买的，预约申购、预约赎回撤销以代销机构的规定为准。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认购费/申购费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本理财产品不收取赎回费。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0.0</w:t>
            </w:r>
            <w:r>
              <w:rPr>
                <w:rFonts w:hint="eastAsia" w:ascii="仿宋" w:hAnsi="仿宋" w:eastAsia="仿宋"/>
                <w:b/>
                <w:bCs w:val="0"/>
                <w:szCs w:val="21"/>
                <w:lang w:val="en-US" w:eastAsia="zh-CN"/>
              </w:rPr>
              <w:t>3</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F=E×【0.0</w:t>
            </w:r>
            <w:r>
              <w:rPr>
                <w:rFonts w:hint="eastAsia" w:ascii="仿宋" w:hAnsi="仿宋" w:eastAsia="仿宋"/>
                <w:b/>
                <w:bCs w:val="0"/>
                <w:szCs w:val="21"/>
                <w:lang w:val="en-US" w:eastAsia="zh-CN"/>
              </w:rPr>
              <w:t>3</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cs="Cambria"/>
                <w:b/>
                <w:bCs/>
                <w:szCs w:val="21"/>
              </w:rPr>
              <w:t>A份额：</w:t>
            </w:r>
            <w:r>
              <w:rPr>
                <w:rFonts w:ascii="仿宋" w:hAnsi="仿宋" w:eastAsia="仿宋"/>
                <w:b/>
                <w:bCs w:val="0"/>
                <w:szCs w:val="21"/>
              </w:rPr>
              <w:t>0.</w:t>
            </w:r>
            <w:r>
              <w:rPr>
                <w:rFonts w:hint="eastAsia" w:ascii="仿宋" w:hAnsi="仿宋" w:eastAsia="仿宋"/>
                <w:b/>
                <w:bCs w:val="0"/>
                <w:szCs w:val="21"/>
                <w:lang w:val="en-US" w:eastAsia="zh-CN"/>
              </w:rPr>
              <w:t>3</w:t>
            </w:r>
            <w:r>
              <w:rPr>
                <w:rFonts w:ascii="仿宋" w:hAnsi="仿宋" w:eastAsia="仿宋"/>
                <w:b/>
                <w:bCs w:val="0"/>
                <w:szCs w:val="21"/>
              </w:rPr>
              <w:t>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w:t>
            </w:r>
            <w:r>
              <w:rPr>
                <w:rFonts w:hint="eastAsia" w:ascii="仿宋" w:hAnsi="仿宋" w:eastAsia="仿宋"/>
                <w:b/>
                <w:bCs/>
                <w:szCs w:val="21"/>
              </w:rPr>
              <w:t>各</w:t>
            </w:r>
            <w:r>
              <w:rPr>
                <w:rFonts w:ascii="仿宋" w:hAnsi="仿宋" w:eastAsia="仿宋"/>
                <w:b/>
                <w:bCs/>
                <w:szCs w:val="21"/>
              </w:rPr>
              <w:t>份额</w:t>
            </w:r>
            <w:r>
              <w:rPr>
                <w:rFonts w:hint="eastAsia" w:ascii="仿宋" w:hAnsi="仿宋" w:eastAsia="仿宋"/>
                <w:b/>
                <w:bCs/>
                <w:szCs w:val="21"/>
              </w:rPr>
              <w:t>销售</w:t>
            </w:r>
            <w:r>
              <w:rPr>
                <w:rFonts w:ascii="仿宋" w:hAnsi="仿宋" w:eastAsia="仿宋"/>
                <w:b/>
                <w:bCs/>
                <w:szCs w:val="21"/>
              </w:rPr>
              <w:t>手续费率</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w:t>
            </w:r>
            <w:r>
              <w:rPr>
                <w:rFonts w:hint="eastAsia" w:ascii="仿宋" w:hAnsi="仿宋" w:eastAsia="仿宋"/>
                <w:b/>
                <w:bCs/>
                <w:szCs w:val="21"/>
              </w:rPr>
              <w:t>各份额</w:t>
            </w:r>
            <w:r>
              <w:rPr>
                <w:rFonts w:hint="eastAsia" w:ascii="仿宋" w:hAnsi="仿宋" w:eastAsia="仿宋"/>
                <w:b/>
                <w:bCs w:val="0"/>
                <w:szCs w:val="21"/>
              </w:rPr>
              <w:t>销售</w:t>
            </w:r>
            <w:r>
              <w:rPr>
                <w:rFonts w:ascii="仿宋" w:hAnsi="仿宋" w:eastAsia="仿宋"/>
                <w:b/>
                <w:bCs w:val="0"/>
                <w:szCs w:val="21"/>
              </w:rPr>
              <w:t>手续费</w:t>
            </w:r>
            <w:r>
              <w:rPr>
                <w:rFonts w:hint="eastAsia" w:ascii="仿宋" w:hAnsi="仿宋" w:eastAsia="仿宋"/>
                <w:b/>
                <w:bCs w:val="0"/>
                <w:szCs w:val="21"/>
              </w:rPr>
              <w:t>；E为计算</w:t>
            </w:r>
            <w:r>
              <w:rPr>
                <w:rFonts w:ascii="仿宋" w:hAnsi="仿宋" w:eastAsia="仿宋"/>
                <w:b/>
                <w:bCs w:val="0"/>
                <w:szCs w:val="21"/>
              </w:rPr>
              <w:t>基数</w:t>
            </w:r>
            <w:r>
              <w:rPr>
                <w:rFonts w:hint="eastAsia" w:ascii="仿宋" w:hAnsi="仿宋" w:eastAsia="仿宋"/>
                <w:b/>
                <w:bCs w:val="0"/>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0.</w:t>
            </w:r>
            <w:r>
              <w:rPr>
                <w:rFonts w:hint="eastAsia" w:ascii="仿宋" w:hAnsi="仿宋" w:eastAsia="仿宋"/>
                <w:b/>
                <w:bCs w:val="0"/>
                <w:szCs w:val="21"/>
                <w:lang w:val="en-US" w:eastAsia="zh-CN"/>
              </w:rPr>
              <w:t>3</w:t>
            </w:r>
            <w:r>
              <w:rPr>
                <w:rFonts w:ascii="仿宋" w:hAnsi="仿宋" w:eastAsia="仿宋"/>
                <w:b/>
                <w:bCs w:val="0"/>
                <w:szCs w:val="21"/>
              </w:rPr>
              <w:t>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F=E×【0.</w:t>
            </w:r>
            <w:r>
              <w:rPr>
                <w:rFonts w:hint="eastAsia" w:ascii="仿宋" w:hAnsi="仿宋" w:eastAsia="仿宋"/>
                <w:b/>
                <w:bCs w:val="0"/>
                <w:szCs w:val="21"/>
                <w:lang w:val="en-US" w:eastAsia="zh-CN"/>
              </w:rPr>
              <w:t>3</w:t>
            </w:r>
            <w:r>
              <w:rPr>
                <w:rFonts w:ascii="仿宋" w:hAnsi="仿宋" w:eastAsia="仿宋"/>
                <w:b/>
                <w:bCs w:val="0"/>
                <w:szCs w:val="21"/>
              </w:rPr>
              <w:t>0</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本理财产品</w:t>
            </w:r>
            <w:r>
              <w:rPr>
                <w:rFonts w:ascii="仿宋" w:hAnsi="仿宋" w:eastAsia="仿宋"/>
                <w:b/>
                <w:bCs w:val="0"/>
                <w:szCs w:val="21"/>
              </w:rPr>
              <w:t>不收取超额管理费。</w:t>
            </w:r>
          </w:p>
          <w:p>
            <w:pPr>
              <w:adjustRightInd w:val="0"/>
              <w:snapToGrid w:val="0"/>
              <w:spacing w:line="240" w:lineRule="atLeast"/>
              <w:ind w:firstLine="420"/>
              <w:rPr>
                <w:rFonts w:ascii="仿宋" w:hAnsi="仿宋" w:eastAsia="仿宋"/>
                <w:b/>
                <w:bCs w:val="0"/>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 xml:space="preserve">产品开放日后第 </w:t>
            </w:r>
            <w:r>
              <w:rPr>
                <w:rFonts w:ascii="仿宋" w:hAnsi="仿宋" w:eastAsia="仿宋"/>
                <w:bCs/>
                <w:szCs w:val="21"/>
                <w:u w:val="single"/>
              </w:rPr>
              <w:t>2</w:t>
            </w:r>
            <w:r>
              <w:rPr>
                <w:rFonts w:hint="eastAsia" w:ascii="仿宋" w:hAnsi="仿宋" w:eastAsia="仿宋"/>
                <w:bCs/>
                <w:szCs w:val="21"/>
              </w:rPr>
              <w:t xml:space="preserve"> 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公告产品开放日</w:t>
            </w:r>
            <w:r>
              <w:rPr>
                <w:rFonts w:ascii="仿宋" w:hAnsi="仿宋" w:eastAsia="仿宋"/>
                <w:bCs/>
                <w:szCs w:val="21"/>
              </w:rPr>
              <w:t>的</w:t>
            </w:r>
            <w:r>
              <w:rPr>
                <w:rFonts w:hint="eastAsia" w:ascii="仿宋" w:hAnsi="仿宋" w:eastAsia="仿宋"/>
                <w:bCs/>
                <w:szCs w:val="21"/>
              </w:rPr>
              <w:t>份额净值</w:t>
            </w:r>
            <w:r>
              <w:rPr>
                <w:rFonts w:ascii="仿宋" w:hAnsi="仿宋" w:eastAsia="仿宋"/>
                <w:bCs/>
                <w:szCs w:val="21"/>
              </w:rPr>
              <w:t>。</w:t>
            </w: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ascii="仿宋" w:hAnsi="仿宋" w:eastAsia="仿宋"/>
                <w:bCs/>
                <w:szCs w:val="21"/>
              </w:rPr>
              <w:t xml:space="preserve"> 2 </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摆动定价</w:t>
            </w:r>
          </w:p>
        </w:tc>
        <w:tc>
          <w:tcPr>
            <w:tcW w:w="74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当理财产品遭遇大额申购或赎回时，管理人可根据理财产品投资组合的市场冲击成本调整投资者申购或赎回时的产品份额净值，将调整投资组合的市场冲击成本分配给实际申购或赎回的投资者，从而减少对存量产品投资者利益的不利影响，确保投资者的合法权益不受损害并得到公平对待。</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具体操作规范遵循相关法律法规以及监管部门、自律规则的规定，并以届时管理人信息披露为准。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cs="宋体"/>
                <w:kern w:val="0"/>
                <w:szCs w:val="21"/>
              </w:rPr>
            </w:pPr>
            <w:r>
              <w:rPr>
                <w:rFonts w:ascii="仿宋" w:hAnsi="仿宋" w:eastAsia="仿宋" w:cs="宋体"/>
                <w:kern w:val="0"/>
                <w:szCs w:val="21"/>
              </w:rPr>
              <w:t>产品管理人可以在产品存续期根据投资情况选择分红或不分红，若分红，将以现金分红或红利再投资方式进行，默认为现金分红，具体以公告为准。本理财产品分红，将于分红日前3个工作日通过本产品说明书约定的信息披露渠道公布分红方案</w:t>
            </w:r>
            <w:r>
              <w:rPr>
                <w:rFonts w:hint="eastAsia" w:ascii="仿宋" w:hAnsi="仿宋" w:eastAsia="仿宋" w:cs="宋体"/>
                <w:kern w:val="0"/>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通过本</w:t>
            </w:r>
            <w:r>
              <w:rPr>
                <w:rFonts w:hint="eastAsia" w:ascii="仿宋" w:hAnsi="仿宋" w:eastAsia="仿宋"/>
                <w:b/>
                <w:szCs w:val="21"/>
              </w:rPr>
              <w:t>产品</w:t>
            </w:r>
            <w:r>
              <w:rPr>
                <w:rFonts w:ascii="仿宋" w:hAnsi="仿宋" w:eastAsia="仿宋"/>
                <w:b/>
                <w:szCs w:val="21"/>
              </w:rPr>
              <w:t>说明书约定的信息披露渠道公告</w:t>
            </w:r>
            <w:r>
              <w:rPr>
                <w:rFonts w:hint="eastAsia" w:ascii="仿宋" w:hAnsi="仿宋" w:eastAsia="仿宋"/>
                <w:bCs/>
                <w:szCs w:val="21"/>
              </w:rPr>
              <w:t>。除本产品说明书另有约定，</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 xml:space="preserve">当本理财产品份额低于 </w:t>
            </w:r>
            <w:r>
              <w:rPr>
                <w:rFonts w:hint="eastAsia" w:ascii="仿宋" w:hAnsi="仿宋" w:eastAsia="仿宋"/>
                <w:bCs/>
                <w:szCs w:val="21"/>
                <w:u w:val="single"/>
                <w:lang w:val="en-US" w:eastAsia="zh-CN"/>
              </w:rPr>
              <w:t>5,</w:t>
            </w:r>
            <w:r>
              <w:rPr>
                <w:rFonts w:hint="eastAsia" w:ascii="仿宋" w:hAnsi="仿宋" w:eastAsia="仿宋"/>
                <w:bCs/>
                <w:szCs w:val="21"/>
                <w:u w:val="single"/>
              </w:rPr>
              <w:t>000万</w:t>
            </w:r>
            <w:r>
              <w:rPr>
                <w:rFonts w:ascii="仿宋" w:hAnsi="仿宋" w:eastAsia="仿宋"/>
                <w:bCs/>
                <w:szCs w:val="21"/>
              </w:rPr>
              <w:t xml:space="preserve"> </w:t>
            </w:r>
            <w:r>
              <w:rPr>
                <w:rFonts w:hint="eastAsia" w:ascii="仿宋" w:hAnsi="仿宋" w:eastAsia="仿宋"/>
                <w:bCs/>
                <w:szCs w:val="21"/>
              </w:rPr>
              <w:t>份时；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⑤</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理财产品赎回申请/到期/终止日（不含）至资金到账日（不含）之间，投资者资金不计存款利息及理财收益。</w:t>
            </w:r>
          </w:p>
        </w:tc>
      </w:tr>
    </w:tbl>
    <w:p>
      <w:pPr>
        <w:pStyle w:val="22"/>
        <w:snapToGrid w:val="0"/>
        <w:spacing w:after="156" w:afterLines="50" w:line="400" w:lineRule="exact"/>
        <w:ind w:firstLine="482" w:firstLineChars="200"/>
        <w:jc w:val="both"/>
        <w:rPr>
          <w:rFonts w:ascii="Times New Roman" w:eastAsia="黑体" w:cs="Times New Roman"/>
          <w:b/>
          <w:color w:val="auto"/>
        </w:rPr>
      </w:pP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widowControl/>
        <w:adjustRightInd w:val="0"/>
        <w:snapToGrid w:val="0"/>
        <w:spacing w:line="276" w:lineRule="auto"/>
        <w:ind w:firstLine="480" w:firstLineChars="200"/>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本产品主要投资于货币市场工具、标准化债权类资产等固定收益类资产</w:t>
      </w:r>
      <w:r>
        <w:rPr>
          <w:rFonts w:hint="eastAsia" w:ascii="仿宋" w:hAnsi="仿宋" w:eastAsia="仿宋" w:cs="宋体"/>
          <w:color w:val="000000"/>
          <w:kern w:val="0"/>
          <w:sz w:val="24"/>
          <w:lang w:val="en-US" w:eastAsia="zh-CN"/>
        </w:rPr>
        <w:t>以及</w:t>
      </w:r>
      <w:r>
        <w:rPr>
          <w:rFonts w:hint="eastAsia" w:ascii="仿宋" w:hAnsi="仿宋" w:eastAsia="仿宋" w:cs="宋体"/>
          <w:color w:val="000000"/>
          <w:kern w:val="0"/>
          <w:sz w:val="24"/>
        </w:rPr>
        <w:t>权益类资产。</w:t>
      </w:r>
    </w:p>
    <w:p>
      <w:pPr>
        <w:widowControl/>
        <w:adjustRightInd w:val="0"/>
        <w:snapToGrid w:val="0"/>
        <w:spacing w:line="276" w:lineRule="auto"/>
        <w:ind w:firstLine="480" w:firstLineChars="200"/>
        <w:contextualSpacing/>
        <w:jc w:val="both"/>
        <w:rPr>
          <w:rFonts w:hint="eastAsia"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本理财产品可以按照国务院金融管理部门相关规定开展回购业务，回购业务中可接受押品的资质要求与本说明书约定的投资范围保持一致。</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其中货币市场工具包括但不限于银行存款、大额存单、同业存单（CD）、短期融资券、超短期融资券、剩余期限在397天以内（含397天）的债券、期限在一年以内（含一年）的债券回购、期限在一年以内（含一年）的中央银行票据以及</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权益类资产</w:t>
      </w:r>
      <w:r>
        <w:rPr>
          <w:rFonts w:hint="eastAsia" w:ascii="仿宋" w:hAnsi="仿宋" w:eastAsia="仿宋" w:cs="宋体"/>
          <w:color w:val="000000"/>
          <w:kern w:val="0"/>
          <w:sz w:val="24"/>
          <w:lang w:val="en-US" w:eastAsia="zh-CN"/>
        </w:rPr>
        <w:t>仅</w:t>
      </w:r>
      <w:r>
        <w:rPr>
          <w:rFonts w:hint="eastAsia" w:ascii="仿宋" w:hAnsi="仿宋" w:eastAsia="仿宋" w:cs="宋体"/>
          <w:color w:val="000000"/>
          <w:kern w:val="0"/>
          <w:sz w:val="24"/>
        </w:rPr>
        <w:t>限于</w:t>
      </w:r>
      <w:r>
        <w:rPr>
          <w:rFonts w:hint="eastAsia" w:ascii="仿宋" w:hAnsi="仿宋" w:eastAsia="仿宋" w:cs="宋体"/>
          <w:color w:val="000000"/>
          <w:kern w:val="0"/>
          <w:sz w:val="24"/>
          <w:lang w:val="en-US" w:eastAsia="zh-CN"/>
        </w:rPr>
        <w:t>优先股</w:t>
      </w:r>
      <w:r>
        <w:rPr>
          <w:rFonts w:hint="eastAsia" w:ascii="仿宋" w:hAnsi="仿宋" w:eastAsia="仿宋" w:cs="宋体"/>
          <w:color w:val="000000"/>
          <w:kern w:val="0"/>
          <w:sz w:val="24"/>
        </w:rPr>
        <w:t>。</w:t>
      </w:r>
    </w:p>
    <w:p>
      <w:pPr>
        <w:widowControl/>
        <w:adjustRightInd w:val="0"/>
        <w:snapToGrid w:val="0"/>
        <w:spacing w:line="276" w:lineRule="auto"/>
        <w:ind w:firstLine="480" w:firstLineChars="200"/>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keepNext/>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1"/>
        <w:tblW w:w="8063" w:type="dxa"/>
        <w:tblCellSpacing w:w="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685"/>
        <w:gridCol w:w="23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trPr>
        <w:tc>
          <w:tcPr>
            <w:tcW w:w="5685" w:type="dxa"/>
            <w:vAlign w:val="center"/>
          </w:tcPr>
          <w:p>
            <w:pPr>
              <w:keepNext/>
              <w:adjustRightInd w:val="0"/>
              <w:snapToGrid w:val="0"/>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2378" w:type="dxa"/>
            <w:vAlign w:val="center"/>
          </w:tcPr>
          <w:p>
            <w:pPr>
              <w:keepNext/>
              <w:adjustRightInd w:val="0"/>
              <w:snapToGrid w:val="0"/>
              <w:jc w:val="center"/>
              <w:rPr>
                <w:rFonts w:eastAsia="仿宋"/>
                <w:color w:val="000000"/>
                <w:kern w:val="0"/>
                <w:sz w:val="24"/>
              </w:rPr>
            </w:pPr>
            <w:r>
              <w:rPr>
                <w:rFonts w:eastAsia="仿宋"/>
                <w:color w:val="000000"/>
                <w:kern w:val="0"/>
                <w:sz w:val="24"/>
              </w:rPr>
              <w:t>投资比例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trPr>
        <w:tc>
          <w:tcPr>
            <w:tcW w:w="5685" w:type="dxa"/>
            <w:vAlign w:val="center"/>
          </w:tcPr>
          <w:p>
            <w:pPr>
              <w:adjustRightInd w:val="0"/>
              <w:snapToGrid w:val="0"/>
              <w:jc w:val="center"/>
              <w:rPr>
                <w:rFonts w:eastAsia="仿宋"/>
                <w:color w:val="000000"/>
                <w:kern w:val="0"/>
                <w:sz w:val="24"/>
              </w:rPr>
            </w:pPr>
            <w:r>
              <w:rPr>
                <w:rFonts w:hint="eastAsia" w:ascii="仿宋" w:hAnsi="仿宋" w:eastAsia="仿宋" w:cs="宋体"/>
                <w:color w:val="000000"/>
                <w:kern w:val="0"/>
                <w:sz w:val="24"/>
                <w:szCs w:val="20"/>
              </w:rPr>
              <w:t>固定收益类</w:t>
            </w:r>
          </w:p>
        </w:tc>
        <w:tc>
          <w:tcPr>
            <w:tcW w:w="2378" w:type="dxa"/>
            <w:vAlign w:val="center"/>
          </w:tcPr>
          <w:p>
            <w:pPr>
              <w:adjustRightInd w:val="0"/>
              <w:snapToGrid w:val="0"/>
              <w:jc w:val="center"/>
              <w:rPr>
                <w:rFonts w:eastAsia="仿宋"/>
                <w:color w:val="000000"/>
                <w:kern w:val="0"/>
                <w:sz w:val="24"/>
              </w:rPr>
            </w:pPr>
            <w:r>
              <w:rPr>
                <w:rFonts w:hint="eastAsia" w:ascii="仿宋" w:hAnsi="仿宋" w:eastAsia="仿宋" w:cs="宋体"/>
                <w:color w:val="000000"/>
                <w:kern w:val="0"/>
                <w:sz w:val="24"/>
                <w:szCs w:val="20"/>
              </w:rPr>
              <w:t>80%（含）-100%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1" w:hRule="atLeast"/>
          <w:tblCellSpacing w:w="0" w:type="dxa"/>
        </w:trPr>
        <w:tc>
          <w:tcPr>
            <w:tcW w:w="5685" w:type="dxa"/>
            <w:vAlign w:val="center"/>
          </w:tcPr>
          <w:p>
            <w:pPr>
              <w:adjustRightInd w:val="0"/>
              <w:snapToGrid w:val="0"/>
              <w:jc w:val="center"/>
              <w:rPr>
                <w:rFonts w:eastAsia="仿宋"/>
                <w:color w:val="000000"/>
                <w:kern w:val="0"/>
                <w:sz w:val="24"/>
              </w:rPr>
            </w:pPr>
            <w:r>
              <w:rPr>
                <w:rFonts w:hint="eastAsia" w:ascii="仿宋" w:hAnsi="仿宋" w:eastAsia="仿宋" w:cs="宋体"/>
                <w:color w:val="000000"/>
                <w:kern w:val="0"/>
                <w:sz w:val="24"/>
                <w:szCs w:val="20"/>
              </w:rPr>
              <w:t>权益类</w:t>
            </w:r>
          </w:p>
        </w:tc>
        <w:tc>
          <w:tcPr>
            <w:tcW w:w="2378" w:type="dxa"/>
            <w:vAlign w:val="center"/>
          </w:tcPr>
          <w:p>
            <w:pPr>
              <w:adjustRightInd w:val="0"/>
              <w:snapToGrid w:val="0"/>
              <w:jc w:val="center"/>
              <w:rPr>
                <w:rFonts w:eastAsia="仿宋"/>
                <w:color w:val="000000"/>
                <w:kern w:val="0"/>
                <w:sz w:val="24"/>
              </w:rPr>
            </w:pPr>
            <w:r>
              <w:rPr>
                <w:rFonts w:hint="eastAsia" w:ascii="仿宋" w:hAnsi="仿宋" w:eastAsia="仿宋" w:cs="宋体"/>
                <w:color w:val="000000"/>
                <w:kern w:val="0"/>
                <w:sz w:val="24"/>
                <w:szCs w:val="20"/>
              </w:rPr>
              <w:t>0%-20%</w:t>
            </w:r>
          </w:p>
        </w:tc>
      </w:tr>
    </w:tbl>
    <w:p>
      <w:pPr>
        <w:widowControl/>
        <w:adjustRightInd w:val="0"/>
        <w:snapToGrid w:val="0"/>
        <w:spacing w:line="276" w:lineRule="auto"/>
        <w:ind w:firstLine="482" w:firstLineChars="200"/>
        <w:contextualSpacing/>
        <w:rPr>
          <w:rFonts w:hint="eastAsia" w:ascii="仿宋" w:hAnsi="仿宋" w:eastAsia="仿宋" w:cs="宋体"/>
          <w:b/>
          <w:bCs/>
          <w:color w:val="000000"/>
          <w:kern w:val="0"/>
          <w:sz w:val="24"/>
        </w:rPr>
      </w:pPr>
      <w:r>
        <w:rPr>
          <w:rFonts w:hint="eastAsia" w:ascii="仿宋" w:hAnsi="仿宋" w:eastAsia="仿宋" w:cs="宋体"/>
          <w:b/>
          <w:bCs/>
          <w:color w:val="000000"/>
          <w:kern w:val="0"/>
          <w:sz w:val="24"/>
        </w:rPr>
        <w:t>本理财产品可以按照监管部门相关规定开展回购业务。</w:t>
      </w:r>
    </w:p>
    <w:p>
      <w:pPr>
        <w:widowControl/>
        <w:adjustRightInd w:val="0"/>
        <w:snapToGrid w:val="0"/>
        <w:spacing w:line="276" w:lineRule="auto"/>
        <w:ind w:firstLine="482" w:firstLineChars="200"/>
        <w:contextualSpacing/>
        <w:rPr>
          <w:rFonts w:hint="eastAsia" w:ascii="仿宋" w:hAnsi="仿宋" w:eastAsia="仿宋" w:cs="宋体"/>
          <w:b/>
          <w:bCs/>
          <w:color w:val="000000"/>
          <w:kern w:val="0"/>
          <w:sz w:val="24"/>
        </w:rPr>
      </w:pP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理财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管理人应当自理财产品成立日起</w:t>
      </w:r>
      <w:r>
        <w:rPr>
          <w:rFonts w:ascii="仿宋" w:hAnsi="仿宋" w:eastAsia="仿宋" w:cs="宋体"/>
          <w:b/>
          <w:bCs/>
          <w:color w:val="000000"/>
          <w:kern w:val="0"/>
          <w:sz w:val="24"/>
        </w:rPr>
        <w:t>1</w:t>
      </w:r>
      <w:r>
        <w:rPr>
          <w:rFonts w:hint="eastAsia" w:ascii="仿宋" w:hAnsi="仿宋" w:eastAsia="仿宋" w:cs="宋体"/>
          <w:b/>
          <w:bCs/>
          <w:color w:val="000000"/>
          <w:kern w:val="0"/>
          <w:sz w:val="24"/>
        </w:rPr>
        <w:t>个</w:t>
      </w:r>
      <w:r>
        <w:rPr>
          <w:rFonts w:ascii="仿宋" w:hAnsi="仿宋" w:eastAsia="仿宋" w:cs="宋体"/>
          <w:b/>
          <w:bCs/>
          <w:color w:val="000000"/>
          <w:kern w:val="0"/>
          <w:sz w:val="24"/>
        </w:rPr>
        <w:t>月</w:t>
      </w:r>
      <w:r>
        <w:rPr>
          <w:rFonts w:hint="eastAsia" w:ascii="仿宋" w:hAnsi="仿宋" w:eastAsia="仿宋" w:cs="宋体"/>
          <w:b/>
          <w:bCs/>
          <w:color w:val="000000"/>
          <w:kern w:val="0"/>
          <w:sz w:val="24"/>
        </w:rPr>
        <w:t>内使理财产品的投资比例符合上述约定。</w:t>
      </w:r>
    </w:p>
    <w:p>
      <w:pPr>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如资产类别及投资比例发生调整，管理人将于调整事项生效前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w:t>
      </w:r>
      <w:r>
        <w:rPr>
          <w:rFonts w:hint="eastAsia" w:ascii="仿宋" w:hAnsi="仿宋" w:eastAsia="仿宋" w:cs="仿宋"/>
          <w:b/>
          <w:bCs/>
          <w:color w:val="000000"/>
          <w:kern w:val="0"/>
          <w:sz w:val="24"/>
        </w:rPr>
        <w:t>本产品说明书约定的信息披露渠道</w:t>
      </w:r>
      <w:r>
        <w:rPr>
          <w:rFonts w:hint="eastAsia" w:ascii="仿宋" w:hAnsi="仿宋" w:eastAsia="仿宋" w:cs="宋体"/>
          <w:b/>
          <w:bCs/>
          <w:color w:val="000000"/>
          <w:kern w:val="0"/>
          <w:sz w:val="24"/>
        </w:rPr>
        <w:t>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非因管理人主观因素导致本理财产品突破上述投资比例限制的，管理人应当在所投资的</w:t>
      </w:r>
      <w:r>
        <w:rPr>
          <w:rFonts w:hint="eastAsia" w:ascii="仿宋" w:hAnsi="仿宋" w:eastAsia="仿宋"/>
          <w:sz w:val="24"/>
        </w:rPr>
        <w:t>流动性受限资产可出售、可转让或者恢复交易的15</w:t>
      </w:r>
      <w:r>
        <w:rPr>
          <w:rFonts w:hint="eastAsia" w:ascii="仿宋" w:hAnsi="仿宋" w:eastAsia="仿宋" w:cs="宋体"/>
          <w:color w:val="000000"/>
          <w:kern w:val="0"/>
          <w:sz w:val="24"/>
        </w:rPr>
        <w:t>个工作日内将本理财产品所投资资产调整至上述投资比例范围内，监管规定的特殊情形除外。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w:t>
      </w:r>
      <w:r>
        <w:rPr>
          <w:rFonts w:ascii="Times New Roman" w:eastAsia="黑体" w:cs="Times New Roman"/>
          <w:b/>
          <w:color w:val="auto"/>
        </w:rPr>
        <w:t>、</w:t>
      </w:r>
      <w:r>
        <w:rPr>
          <w:rFonts w:hint="eastAsia" w:ascii="Times New Roman" w:eastAsia="黑体" w:cs="Times New Roman"/>
          <w:b/>
          <w:color w:val="auto"/>
        </w:rPr>
        <w:t>理财产品管理人和托管</w:t>
      </w:r>
      <w:r>
        <w:rPr>
          <w:rFonts w:ascii="Times New Roman" w:eastAsia="黑体" w:cs="Times New Roman"/>
          <w:b/>
          <w:color w:val="auto"/>
        </w:rPr>
        <w:t>人</w:t>
      </w:r>
    </w:p>
    <w:p>
      <w:pPr>
        <w:pStyle w:val="22"/>
        <w:snapToGrid w:val="0"/>
        <w:spacing w:after="156" w:afterLines="50" w:line="400" w:lineRule="exact"/>
        <w:ind w:firstLine="480" w:firstLineChars="200"/>
        <w:jc w:val="both"/>
        <w:rPr>
          <w:rFonts w:ascii="仿宋" w:hAnsi="仿宋" w:eastAsia="仿宋"/>
        </w:rPr>
      </w:pPr>
      <w:r>
        <w:rPr>
          <w:rFonts w:hint="eastAsia" w:ascii="仿宋" w:hAnsi="仿宋" w:eastAsia="仿宋"/>
        </w:rPr>
        <w:t>（一）</w:t>
      </w:r>
      <w:r>
        <w:rPr>
          <w:rFonts w:ascii="仿宋" w:hAnsi="仿宋" w:eastAsia="仿宋"/>
        </w:rPr>
        <w:t>本</w:t>
      </w:r>
      <w:r>
        <w:rPr>
          <w:rFonts w:hint="eastAsia" w:ascii="仿宋" w:hAnsi="仿宋" w:eastAsia="仿宋"/>
        </w:rPr>
        <w:t>理财</w:t>
      </w:r>
      <w:r>
        <w:rPr>
          <w:rFonts w:ascii="仿宋" w:hAnsi="仿宋" w:eastAsia="仿宋"/>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w:t>
      </w:r>
      <w:r>
        <w:rPr>
          <w:rFonts w:hint="eastAsia" w:ascii="仿宋" w:hAnsi="仿宋" w:eastAsia="仿宋" w:cs="宋体"/>
          <w:color w:val="000000"/>
          <w:kern w:val="0"/>
          <w:sz w:val="24"/>
          <w:lang w:val="en-US" w:eastAsia="zh-CN"/>
        </w:rPr>
        <w:t>华夏</w:t>
      </w:r>
      <w:r>
        <w:rPr>
          <w:rFonts w:hint="eastAsia" w:ascii="仿宋" w:hAnsi="仿宋" w:eastAsia="仿宋" w:cs="宋体"/>
          <w:color w:val="000000"/>
          <w:kern w:val="0"/>
          <w:sz w:val="24"/>
        </w:rPr>
        <w:t>银行股份有限公司。</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1.基本信息</w:t>
      </w:r>
    </w:p>
    <w:p>
      <w:pPr>
        <w:widowControl/>
        <w:adjustRightInd w:val="0"/>
        <w:snapToGrid w:val="0"/>
        <w:spacing w:line="276" w:lineRule="auto"/>
        <w:ind w:firstLine="480" w:firstLineChars="200"/>
        <w:contextualSpacing/>
        <w:rPr>
          <w:rFonts w:hint="default" w:ascii="仿宋" w:hAnsi="仿宋" w:eastAsia="仿宋" w:cs="宋体"/>
          <w:color w:val="000000"/>
          <w:kern w:val="0"/>
          <w:sz w:val="24"/>
          <w:lang w:val="en-US" w:eastAsia="zh-CN"/>
        </w:rPr>
      </w:pPr>
      <w:r>
        <w:rPr>
          <w:rFonts w:hint="eastAsia" w:ascii="仿宋" w:hAnsi="仿宋" w:eastAsia="仿宋" w:cs="宋体"/>
          <w:color w:val="000000"/>
          <w:kern w:val="0"/>
          <w:sz w:val="24"/>
        </w:rPr>
        <w:t>法定代表人：</w:t>
      </w:r>
      <w:r>
        <w:rPr>
          <w:rFonts w:hint="eastAsia" w:ascii="仿宋" w:hAnsi="仿宋" w:eastAsia="仿宋" w:cs="宋体"/>
          <w:color w:val="000000"/>
          <w:kern w:val="0"/>
          <w:sz w:val="24"/>
          <w:lang w:val="en-US" w:eastAsia="zh-CN"/>
        </w:rPr>
        <w:t>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2.主要职责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eastAsia="黑体"/>
          <w:b/>
        </w:rPr>
      </w:pPr>
      <w:r>
        <w:rPr>
          <w:rFonts w:hint="eastAsia" w:ascii="仿宋" w:hAnsi="仿宋" w:eastAsia="仿宋" w:cs="宋体"/>
          <w:color w:val="000000"/>
          <w:kern w:val="0"/>
          <w:sz w:val="24"/>
        </w:rPr>
        <w:t>（9）银行业监督管理机构规定的其他职责。</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＝理财产品</w:t>
      </w:r>
      <w:r>
        <w:rPr>
          <w:rFonts w:hint="eastAsia" w:ascii="仿宋" w:hAnsi="仿宋" w:eastAsia="仿宋" w:cs="宋体"/>
          <w:color w:val="000000"/>
          <w:kern w:val="0"/>
          <w:sz w:val="24"/>
        </w:rPr>
        <w:t>资产</w:t>
      </w:r>
      <w:r>
        <w:rPr>
          <w:rFonts w:ascii="仿宋" w:hAnsi="仿宋" w:eastAsia="仿宋" w:cs="宋体"/>
          <w:color w:val="000000"/>
          <w:kern w:val="0"/>
          <w:sz w:val="24"/>
        </w:rPr>
        <w:t>净值/理财产品份额</w:t>
      </w:r>
      <w:r>
        <w:rPr>
          <w:rFonts w:hint="eastAsia" w:ascii="仿宋" w:hAnsi="仿宋" w:eastAsia="仿宋" w:cs="宋体"/>
          <w:color w:val="000000"/>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为提取相关费用后的</w:t>
      </w:r>
      <w:r>
        <w:rPr>
          <w:rFonts w:hint="eastAsia" w:ascii="仿宋" w:hAnsi="仿宋" w:eastAsia="仿宋" w:cs="宋体"/>
          <w:color w:val="000000"/>
          <w:kern w:val="0"/>
          <w:sz w:val="24"/>
        </w:rPr>
        <w:t>份额净值</w:t>
      </w:r>
      <w:r>
        <w:rPr>
          <w:rFonts w:ascii="仿宋" w:hAnsi="仿宋" w:eastAsia="仿宋" w:cs="宋体"/>
          <w:color w:val="000000"/>
          <w:kern w:val="0"/>
          <w:sz w:val="24"/>
        </w:rPr>
        <w:t>，投资者按</w:t>
      </w:r>
      <w:r>
        <w:rPr>
          <w:rFonts w:hint="eastAsia" w:ascii="仿宋" w:hAnsi="仿宋" w:eastAsia="仿宋" w:cs="宋体"/>
          <w:color w:val="000000"/>
          <w:kern w:val="0"/>
          <w:sz w:val="24"/>
        </w:rPr>
        <w:t>该份额净值</w:t>
      </w:r>
      <w:r>
        <w:rPr>
          <w:rFonts w:ascii="仿宋" w:hAnsi="仿宋" w:eastAsia="仿宋" w:cs="宋体"/>
          <w:color w:val="000000"/>
          <w:kern w:val="0"/>
          <w:sz w:val="24"/>
        </w:rPr>
        <w:t>申购、赎回和</w:t>
      </w:r>
      <w:r>
        <w:rPr>
          <w:rFonts w:hint="eastAsia" w:ascii="仿宋" w:hAnsi="仿宋" w:eastAsia="仿宋" w:cs="宋体"/>
          <w:color w:val="000000"/>
          <w:kern w:val="0"/>
          <w:sz w:val="24"/>
        </w:rPr>
        <w:t>到期/</w:t>
      </w:r>
      <w:r>
        <w:rPr>
          <w:rFonts w:ascii="仿宋" w:hAnsi="仿宋" w:eastAsia="仿宋" w:cs="宋体"/>
          <w:color w:val="000000"/>
          <w:kern w:val="0"/>
          <w:sz w:val="24"/>
        </w:rPr>
        <w:t>终止。</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r>
        <w:rPr>
          <w:rFonts w:hint="eastAsia" w:ascii="Times New Roman" w:eastAsia="黑体" w:cs="Times New Roman"/>
          <w:b/>
          <w:color w:val="auto"/>
        </w:rPr>
        <w:t>、申购、赎回</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（一）认购、申购、赎回交易渠道和规定</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w:t>
      </w:r>
      <w:r>
        <w:rPr>
          <w:rFonts w:hint="eastAsia" w:ascii="仿宋" w:hAnsi="仿宋" w:eastAsia="仿宋" w:cs="宋体"/>
          <w:kern w:val="0"/>
          <w:sz w:val="24"/>
          <w:lang w:val="en-US" w:eastAsia="zh-CN"/>
        </w:rPr>
        <w:t>直销</w:t>
      </w:r>
      <w:r>
        <w:rPr>
          <w:rFonts w:hint="eastAsia" w:ascii="仿宋" w:hAnsi="仿宋" w:eastAsia="仿宋" w:cs="宋体"/>
          <w:kern w:val="0"/>
          <w:sz w:val="24"/>
        </w:rPr>
        <w:t>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华夏银行柜台</w:t>
      </w:r>
      <w:r>
        <w:rPr>
          <w:rFonts w:hint="eastAsia" w:ascii="仿宋" w:hAnsi="仿宋" w:eastAsia="仿宋"/>
          <w:sz w:val="24"/>
        </w:rPr>
        <w:t>、手机银行、网上银行等</w:t>
      </w:r>
      <w:r>
        <w:rPr>
          <w:rFonts w:ascii="仿宋" w:hAnsi="仿宋" w:eastAsia="仿宋"/>
          <w:sz w:val="24"/>
        </w:rPr>
        <w:t>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hint="eastAsia" w:ascii="仿宋" w:hAnsi="仿宋" w:eastAsia="仿宋" w:cs="宋体"/>
          <w:kern w:val="0"/>
          <w:sz w:val="24"/>
        </w:rPr>
        <w:t>渠道以代销机构规定为准</w:t>
      </w:r>
      <w:r>
        <w:rPr>
          <w:rFonts w:ascii="仿宋" w:hAnsi="仿宋" w:eastAsia="仿宋" w:cs="宋体"/>
          <w:kern w:val="0"/>
          <w:sz w:val="24"/>
        </w:rPr>
        <w:t>。</w:t>
      </w:r>
    </w:p>
    <w:p>
      <w:pPr>
        <w:widowControl/>
        <w:adjustRightInd w:val="0"/>
        <w:snapToGrid w:val="0"/>
        <w:spacing w:line="276" w:lineRule="auto"/>
        <w:ind w:firstLine="482" w:firstLineChars="200"/>
        <w:contextualSpacing/>
        <w:rPr>
          <w:rFonts w:hint="eastAsia" w:ascii="仿宋" w:hAnsi="仿宋" w:eastAsia="仿宋" w:cs="宋体"/>
          <w:b/>
          <w:bCs/>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 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不再接受该单一投资者对本理财产品的认、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widowControl/>
        <w:adjustRightInd w:val="0"/>
        <w:snapToGrid w:val="0"/>
        <w:spacing w:line="276" w:lineRule="auto"/>
        <w:ind w:firstLine="480" w:firstLineChars="200"/>
        <w:contextualSpacing/>
        <w:rPr>
          <w:rFonts w:hint="eastAsia" w:ascii="仿宋" w:hAnsi="仿宋" w:eastAsia="仿宋" w:cs="宋体"/>
          <w:b/>
          <w:bCs/>
          <w:kern w:val="0"/>
          <w:sz w:val="24"/>
        </w:rPr>
      </w:pPr>
      <w:r>
        <w:rPr>
          <w:rFonts w:hint="eastAsia" w:ascii="仿宋" w:hAnsi="仿宋" w:eastAsia="仿宋" w:cs="宋体"/>
          <w:kern w:val="0"/>
          <w:sz w:val="24"/>
        </w:rPr>
        <w:t>法律法规、监管部门另有规定的，从其规定。</w:t>
      </w:r>
    </w:p>
    <w:p>
      <w:pPr>
        <w:widowControl/>
        <w:adjustRightInd w:val="0"/>
        <w:snapToGrid w:val="0"/>
        <w:spacing w:line="276" w:lineRule="auto"/>
        <w:ind w:firstLine="480" w:firstLineChars="200"/>
        <w:contextualSpacing/>
        <w:rPr>
          <w:rFonts w:hint="eastAsia" w:ascii="仿宋" w:hAnsi="仿宋" w:eastAsia="仿宋" w:cs="宋体"/>
          <w:b/>
          <w:bCs/>
          <w:kern w:val="0"/>
          <w:sz w:val="24"/>
        </w:rPr>
      </w:pPr>
      <w:r>
        <w:rPr>
          <w:rFonts w:hint="eastAsia" w:ascii="仿宋" w:hAnsi="仿宋" w:eastAsia="仿宋" w:cs="宋体"/>
          <w:b w:val="0"/>
          <w:bCs w:val="0"/>
          <w:kern w:val="0"/>
          <w:sz w:val="24"/>
        </w:rPr>
        <w:t>3</w:t>
      </w:r>
      <w:r>
        <w:rPr>
          <w:rFonts w:hint="eastAsia" w:ascii="仿宋" w:hAnsi="仿宋" w:eastAsia="仿宋" w:cs="宋体"/>
          <w:b w:val="0"/>
          <w:bCs w:val="0"/>
          <w:kern w:val="0"/>
          <w:sz w:val="24"/>
          <w:lang w:val="en-US" w:eastAsia="zh-CN"/>
        </w:rPr>
        <w:t>.</w:t>
      </w:r>
      <w:r>
        <w:rPr>
          <w:rFonts w:hint="eastAsia" w:ascii="仿宋" w:hAnsi="仿宋" w:eastAsia="仿宋" w:cs="宋体"/>
          <w:b w:val="0"/>
          <w:bCs w:val="0"/>
          <w:kern w:val="0"/>
          <w:sz w:val="24"/>
        </w:rPr>
        <w:t>本理财产品申购和赎回采用“未知价”原则，即本产品申购申请和赎回申请提交时，适用的产品份额净值都是未知的。适用的产品份额净值</w:t>
      </w:r>
      <w:r>
        <w:rPr>
          <w:rFonts w:hint="eastAsia" w:ascii="仿宋" w:hAnsi="仿宋" w:eastAsia="仿宋" w:cs="宋体"/>
          <w:b w:val="0"/>
          <w:bCs w:val="0"/>
          <w:kern w:val="0"/>
          <w:sz w:val="24"/>
          <w:lang w:eastAsia="zh-CN"/>
        </w:rPr>
        <w:t>，</w:t>
      </w:r>
      <w:r>
        <w:rPr>
          <w:rFonts w:hint="eastAsia" w:ascii="仿宋" w:hAnsi="仿宋" w:eastAsia="仿宋" w:cs="宋体"/>
          <w:b w:val="0"/>
          <w:bCs w:val="0"/>
          <w:kern w:val="0"/>
          <w:sz w:val="24"/>
          <w:lang w:val="en-US" w:eastAsia="zh-CN"/>
        </w:rPr>
        <w:t>详见“份额净值公告日”“九、信息披露”</w:t>
      </w:r>
      <w:r>
        <w:rPr>
          <w:rFonts w:hint="eastAsia" w:ascii="仿宋" w:hAnsi="仿宋" w:eastAsia="仿宋" w:cs="宋体"/>
          <w:b w:val="0"/>
          <w:bCs w:val="0"/>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3．接受认（申）购申请可能对存量投资者利益构成重大不利影响。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4．认购/申购日理财产品实时余额已达到规模上限。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6．认（申）购申请超过说明书约定的单一投资者认（申）购金额上限、或超过理财产品单日净认（申）购比例上限。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8</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（三）暂停赎回或延缓支付赎回款项的情形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在发生下列情形之一时，</w:t>
      </w:r>
      <w:r>
        <w:rPr>
          <w:rFonts w:ascii="仿宋" w:hAnsi="仿宋" w:eastAsia="仿宋" w:cs="宋体"/>
          <w:b/>
          <w:bCs/>
          <w:kern w:val="0"/>
          <w:sz w:val="24"/>
        </w:rPr>
        <w:t>管理人</w:t>
      </w:r>
      <w:r>
        <w:rPr>
          <w:rFonts w:hint="eastAsia" w:ascii="仿宋" w:hAnsi="仿宋" w:eastAsia="仿宋" w:cs="宋体"/>
          <w:b/>
          <w:bCs/>
          <w:kern w:val="0"/>
          <w:sz w:val="24"/>
        </w:rPr>
        <w:t>可以采取</w:t>
      </w:r>
      <w:r>
        <w:rPr>
          <w:rFonts w:hint="eastAsia" w:ascii="仿宋" w:hAnsi="仿宋" w:eastAsia="仿宋" w:cs="宋体"/>
          <w:b/>
          <w:bCs/>
          <w:color w:val="000000"/>
          <w:kern w:val="0"/>
          <w:sz w:val="24"/>
        </w:rPr>
        <w:t>赎回流动性风险应对措施，包括</w:t>
      </w:r>
      <w:r>
        <w:rPr>
          <w:rFonts w:ascii="仿宋" w:hAnsi="仿宋" w:eastAsia="仿宋" w:cs="宋体"/>
          <w:b/>
          <w:bCs/>
          <w:color w:val="000000"/>
          <w:kern w:val="0"/>
          <w:sz w:val="24"/>
        </w:rPr>
        <w:t>但不限于</w:t>
      </w:r>
      <w:r>
        <w:rPr>
          <w:rFonts w:hint="eastAsia" w:ascii="仿宋" w:hAnsi="仿宋" w:eastAsia="仿宋" w:cs="宋体"/>
          <w:b/>
          <w:bCs/>
          <w:color w:val="000000"/>
          <w:kern w:val="0"/>
          <w:sz w:val="24"/>
        </w:rPr>
        <w:t>延期办理巨额赎回申请、暂停接受赎回申请、延缓支付赎回款项等：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w:t>
      </w:r>
      <w:r>
        <w:rPr>
          <w:rFonts w:ascii="仿宋" w:hAnsi="仿宋" w:eastAsia="仿宋" w:cs="宋体"/>
          <w:kern w:val="0"/>
          <w:sz w:val="24"/>
        </w:rPr>
        <w:t>管理人</w:t>
      </w:r>
      <w:r>
        <w:rPr>
          <w:rFonts w:hint="eastAsia" w:ascii="仿宋" w:hAnsi="仿宋" w:eastAsia="仿宋" w:cs="宋体"/>
          <w:color w:val="000000"/>
          <w:kern w:val="0"/>
          <w:sz w:val="24"/>
        </w:rPr>
        <w:t>不能支付赎回款项。</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．连续2个以上开放日发生巨额赎回。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bCs/>
          <w:color w:val="000000"/>
          <w:sz w:val="24"/>
        </w:rPr>
        <w:t>5.单个投资者在单个开放日的赎回超过说明书约定的赎回比例</w:t>
      </w:r>
      <w:r>
        <w:rPr>
          <w:rFonts w:ascii="仿宋" w:hAnsi="仿宋" w:eastAsia="仿宋"/>
          <w:bCs/>
          <w:color w:val="000000"/>
          <w:sz w:val="24"/>
        </w:rPr>
        <w:t>上限</w:t>
      </w:r>
      <w:r>
        <w:rPr>
          <w:rFonts w:hint="eastAsia" w:ascii="仿宋" w:hAnsi="仿宋" w:eastAsia="仿宋"/>
          <w:bCs/>
          <w:color w:val="00000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6．继续接受赎回申请可能对存量理财投资者利益构成潜在重大不利影响。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7．法律法规规定或监管机构认定的其他情形。</w:t>
      </w:r>
    </w:p>
    <w:p>
      <w:pPr>
        <w:pStyle w:val="22"/>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在暂停赎回的情形消除时，</w:t>
      </w:r>
      <w:r>
        <w:rPr>
          <w:rFonts w:ascii="仿宋" w:hAnsi="仿宋" w:eastAsia="仿宋"/>
        </w:rPr>
        <w:t>管理人</w:t>
      </w:r>
      <w:r>
        <w:rPr>
          <w:rFonts w:hint="eastAsia" w:ascii="仿宋" w:hAnsi="仿宋" w:eastAsia="仿宋"/>
        </w:rPr>
        <w:t>将及时恢复办理赎回业务并公告。</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例1：假设客户持有的本理财产品份额为200,000份，在开放日赎回100,000份，则：若产品开放日份额净值为1.1800，则客户获得的赎回金额为：100,000*1.1800=118,000.00元。</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若产品开放日份额净值为0.9980，则客户获得赎回金额为：100,000*0.9980=99,800.00元。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宋体"/>
          <w:color w:val="000000"/>
          <w:kern w:val="0"/>
          <w:sz w:val="24"/>
        </w:rPr>
        <w:t>例2：客户在本理财产品的开放日申请购买了100,000元的本理财产品，如购买当日产品的份额净值为1.0110，则该笔购买申请确认后，该笔购买申请对应的理财产品份额为：100,000/1.0110=98,911.9</w:t>
      </w:r>
      <w:r>
        <w:rPr>
          <w:rFonts w:ascii="仿宋" w:hAnsi="仿宋" w:eastAsia="仿宋" w:cs="宋体"/>
          <w:color w:val="000000"/>
          <w:kern w:val="0"/>
          <w:sz w:val="24"/>
        </w:rPr>
        <w:t>7</w:t>
      </w:r>
      <w:r>
        <w:rPr>
          <w:rFonts w:hint="eastAsia" w:ascii="仿宋" w:hAnsi="仿宋" w:eastAsia="仿宋" w:cs="宋体"/>
          <w:color w:val="000000"/>
          <w:kern w:val="0"/>
          <w:sz w:val="24"/>
        </w:rPr>
        <w:t>份。</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color w:val="000000"/>
          <w:sz w:val="24"/>
        </w:rPr>
      </w:pPr>
      <w:r>
        <w:rPr>
          <w:rFonts w:hint="eastAsia" w:eastAsia="黑体"/>
          <w:b/>
          <w:color w:val="000000"/>
          <w:sz w:val="24"/>
        </w:rPr>
        <w:t>最不利的投资情形：如果本理财产品投资组合内所配置资产发生损失，则投资者可能无法获得理财产品投资收益，甚至损失全部理财本金，投资者应在对此风险有充分认识基础上谨慎投资。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color w:val="000000"/>
          <w:sz w:val="24"/>
        </w:rPr>
        <w:t>本产品说明书中的任何业绩比较基准、收益示例或类似表述均不具有法律约束力，不等于预期收益，不代表投资者可能获得的实际收益，亦不构成华夏理财/代销机构对本理财产品的任何收益承诺。</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（一）估值对象</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本理财产品所投资的货币市场工具、标准化债权类资产</w:t>
      </w:r>
      <w:r>
        <w:rPr>
          <w:rFonts w:hint="eastAsia" w:ascii="仿宋" w:hAnsi="仿宋" w:eastAsia="仿宋"/>
          <w:lang w:val="en-US" w:eastAsia="zh-CN"/>
        </w:rPr>
        <w:t>等</w:t>
      </w:r>
      <w:r>
        <w:rPr>
          <w:rFonts w:hint="eastAsia" w:ascii="仿宋" w:hAnsi="仿宋" w:eastAsia="仿宋" w:cs="宋体"/>
          <w:color w:val="000000"/>
          <w:kern w:val="0"/>
          <w:sz w:val="24"/>
        </w:rPr>
        <w:t>固定收益类资产</w:t>
      </w:r>
      <w:r>
        <w:rPr>
          <w:rFonts w:hint="eastAsia" w:ascii="仿宋" w:hAnsi="仿宋" w:eastAsia="仿宋" w:cs="宋体"/>
          <w:color w:val="000000"/>
          <w:kern w:val="0"/>
          <w:sz w:val="24"/>
          <w:lang w:eastAsia="zh-CN"/>
        </w:rPr>
        <w:t>、</w:t>
      </w:r>
      <w:r>
        <w:rPr>
          <w:rFonts w:hint="eastAsia" w:ascii="仿宋" w:hAnsi="仿宋" w:eastAsia="仿宋"/>
        </w:rPr>
        <w:t>权益类资产以及资产管理产品等资产。</w:t>
      </w:r>
    </w:p>
    <w:p>
      <w:pPr>
        <w:pStyle w:val="22"/>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22"/>
        <w:snapToGrid w:val="0"/>
        <w:spacing w:line="276" w:lineRule="auto"/>
        <w:ind w:firstLine="480" w:firstLineChars="200"/>
        <w:contextualSpacing/>
        <w:rPr>
          <w:rFonts w:ascii="仿宋" w:hAnsi="仿宋" w:eastAsia="仿宋"/>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（三）估值方法</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 证券交易所上市的有价证券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在交易所市场上市的含有转股权的债券（如可转换债券、可交换债券等）等，选取每日收盘价减去所含的应收利息得到的净价进行估值。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 处于未上市期间的有价证券应区分如下情况处理：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（1）送股、转增股、配股和公开增发的新股，按估值日在证券交易所挂牌的同一股票的市价（收盘价）估值；该日无交易的，以最近一日的市价（收盘价）估值；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（2）首次公开发行未上市的股票、债券和权证，采用估值技术确定公允价值，在估值技术难以可靠计量公允价值的情况下，采用管理人和托管人共同认可的第三方机构提供的估值，或双方共同认可的估值；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（3）优先股采用估值技术确认公允价值，在估值技术难以可靠计量公允价值的情况下，采用管理人和托管人共同认可的第三方机构提供的估值，或双方共同认可的估值；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 同一债券同时在两个或两个以上市场交易的，按债券所处的市场分别估值。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 证券投资基金的估值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（1）场外申赎的开放式非货币基金以估值日可获取的基金管理人公布的最新基金份额净值估值；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（2）上市流通的证券投资基金（包括场内买入的ETF、封闭式基金、上市定期开放式基金）按估值日其所在证券交易所的收盘价估值；估值日无交易的，以最近一个交易日的收盘价估值；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（3）货币基金以估值日可获取的基金管理人公布的最新万份收益计提红利。</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 期货以估值日期货交易所的当日结算价估值，估值当日无结算价的，且最近交易日后经济环境未发生重大变化的，采用最近交易日结算价估值。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 汇率估值方法</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10. 场内期权以估值日交易所的结算价估值，该日无交易的，以最近一日的结算价为准。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11. 非标准化债权类资产采用估值技术确认公允价值，在估值技术难以可靠计量公允价值的情况下，按照管理人和托管人共同认可的估值。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12.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13. 本系列产品所投资的资产管理产品以估值日公布的产品单位净值进行估值，估值日产品单位净值未公布的，以最近一个工作日产品单位净值计算。</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14. 相关法律法规以及监管部门有强制规定的，从其规定。如有新增事项或变更事项，依法按最新规定计算。没有相关规定的，由产品管理人与托管人协商确定计算方法。</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22"/>
        <w:snapToGrid w:val="0"/>
        <w:spacing w:line="276" w:lineRule="auto"/>
        <w:ind w:firstLine="482" w:firstLineChars="200"/>
        <w:contextualSpacing/>
        <w:rPr>
          <w:rFonts w:ascii="仿宋" w:hAnsi="仿宋" w:eastAsia="仿宋"/>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22"/>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3．占前一估值日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22"/>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在法律法规允许的范围内免除赔偿责任。但管理人和托管人应当积极采取必要的措施消除由此造成的影响。</w:t>
      </w:r>
      <w:r>
        <w:rPr>
          <w:rFonts w:hint="eastAsia" w:ascii="仿宋" w:hAnsi="仿宋" w:eastAsia="仿宋" w:cs="仿宋"/>
          <w:b/>
        </w:rPr>
        <w:t>当估值出现错误时，因估值错误而获得不当得利的投资者负有及时返还不当得利的义务。</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22"/>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资产管理计划管理人、信托受托人、债务人、担保人（如有）等相关主体发生违约，可能导致无法按时支付本金及理财收益，进而导致本理财产品收益为零甚至本金遭受损失。</w:t>
      </w:r>
    </w:p>
    <w:p>
      <w:pPr>
        <w:pStyle w:val="22"/>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以及国家政策等的变动导致本理财产品净值遭受损失的可能。</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净值型理财产品，投资者无权随时终止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rPr>
        <w:t>只能在本产品说明书规定的开放日及开放时间内办理申购与赎回</w:t>
      </w:r>
      <w:r>
        <w:rPr>
          <w:rFonts w:hint="eastAsia" w:eastAsia="黑体"/>
          <w:b/>
        </w:rPr>
        <w:t>。除本产品说明书规定情形以外，</w:t>
      </w:r>
      <w:r>
        <w:rPr>
          <w:rFonts w:eastAsia="黑体"/>
          <w:b/>
        </w:rPr>
        <w:t>封闭期</w:t>
      </w:r>
      <w:r>
        <w:rPr>
          <w:rFonts w:hint="eastAsia" w:eastAsia="黑体"/>
          <w:b/>
        </w:rPr>
        <w:t>或最短持有期内产品管理人</w:t>
      </w:r>
      <w:r>
        <w:rPr>
          <w:rFonts w:eastAsia="黑体"/>
          <w:b/>
        </w:rPr>
        <w:t>不受理</w:t>
      </w:r>
      <w:r>
        <w:rPr>
          <w:rFonts w:hint="eastAsia" w:eastAsia="黑体"/>
          <w:b/>
        </w:rPr>
        <w:t>投资者</w:t>
      </w:r>
      <w:r>
        <w:rPr>
          <w:rFonts w:eastAsia="黑体"/>
          <w:b/>
        </w:rPr>
        <w:t>任何形式的提前赎回申请。以上情形均</w:t>
      </w:r>
      <w:r>
        <w:rPr>
          <w:rFonts w:hint="eastAsia" w:ascii="Times New Roman" w:eastAsia="黑体" w:cs="Times New Roman"/>
          <w:b/>
        </w:rPr>
        <w:t>可能影响投资者的资金安排，带来流动性风险</w:t>
      </w:r>
      <w:r>
        <w:rPr>
          <w:rFonts w:ascii="Times New Roman" w:eastAsia="黑体" w:cs="Times New Roman"/>
          <w:b/>
        </w:rPr>
        <w:t>。</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22"/>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22"/>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如因与理财产品投资资产相关的</w:t>
      </w:r>
      <w:r>
        <w:rPr>
          <w:rFonts w:hint="eastAsia" w:eastAsia="黑体"/>
          <w:b/>
        </w:rPr>
        <w:t>资产管理计划管理人、</w:t>
      </w:r>
      <w:r>
        <w:rPr>
          <w:rFonts w:eastAsia="黑体"/>
          <w:b/>
        </w:rPr>
        <w:t>信托受托人、债务人、担保人（如有）等主体发生违约，导致本理财产品不能按时偿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22"/>
        <w:snapToGrid w:val="0"/>
        <w:spacing w:line="276" w:lineRule="auto"/>
        <w:ind w:firstLine="482"/>
        <w:contextualSpacing/>
        <w:rPr>
          <w:rFonts w:ascii="Times New Roman" w:eastAsia="黑体" w:cs="Times New Roman"/>
          <w:b/>
        </w:rPr>
      </w:pPr>
      <w:r>
        <w:rPr>
          <w:rFonts w:hint="eastAsia" w:ascii="Times New Roman" w:eastAsia="黑体" w:cs="Times New Roman"/>
          <w:b/>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（十三）拟投资市场及资产的流动性风险评估</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w:t>
      </w:r>
    </w:p>
    <w:p>
      <w:pPr>
        <w:pStyle w:val="22"/>
        <w:snapToGrid w:val="0"/>
        <w:spacing w:line="276" w:lineRule="auto"/>
        <w:ind w:firstLine="482" w:firstLineChars="200"/>
        <w:contextualSpacing/>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（十四）流动性应对措施及对投资者的潜在影响</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1．认（申）购风险应对措施及对投资者的潜在影响</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五、</w:t>
      </w:r>
      <w:r>
        <w:rPr>
          <w:rFonts w:ascii="Times New Roman" w:eastAsia="黑体" w:cs="Times New Roman"/>
          <w:b/>
        </w:rPr>
        <w:t>认购</w:t>
      </w:r>
      <w:r>
        <w:rPr>
          <w:rFonts w:hint="eastAsia" w:ascii="Times New Roman" w:eastAsia="黑体" w:cs="Times New Roman"/>
          <w:b/>
        </w:rPr>
        <w:t>、申购、赎回”。</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当管理人采用认（申）购风险应对措施时，可能对投资者造成一定的潜在影响，包括但不限于不能认（申）购本理财产品、认（申）购交易全部或部分确认失败等。</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2．赎回风险应对措施及对投资者的潜在影响</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摆动定价，以及监管机构规定的其他风险应对措施。具体详见本理财产品说明书“一、产品概述”及“五、认购、申购、赎回”。</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当管理人实施赎回流动性风险应对措施时，可能对投资者造成一定的潜在影响，包括但不限于赎回交易全部或部分确认失败、赎回款项延迟到账、增加申赎成本或产生赎回费用等。</w:t>
      </w:r>
    </w:p>
    <w:p>
      <w:pPr>
        <w:pStyle w:val="22"/>
        <w:numPr>
          <w:ilvl w:val="0"/>
          <w:numId w:val="1"/>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22"/>
        <w:numPr>
          <w:ilvl w:val="0"/>
          <w:numId w:val="0"/>
        </w:numPr>
        <w:snapToGrid w:val="0"/>
        <w:spacing w:line="276" w:lineRule="auto"/>
        <w:ind w:firstLine="0" w:firstLineChars="0"/>
        <w:contextualSpacing/>
        <w:jc w:val="both"/>
        <w:rPr>
          <w:rFonts w:hint="eastAsia" w:ascii="Times New Roman" w:eastAsia="黑体" w:cs="Times New Roman"/>
          <w:b/>
        </w:rPr>
      </w:pPr>
      <w:r>
        <w:rPr>
          <w:rFonts w:hint="eastAsia" w:ascii="Times New Roman" w:eastAsia="黑体" w:cs="Times New Roman"/>
          <w:b/>
          <w:color w:val="auto"/>
          <w:lang w:val="en-US" w:eastAsia="zh-CN"/>
        </w:rPr>
        <w:t xml:space="preserve">    （十六）</w:t>
      </w:r>
      <w:r>
        <w:rPr>
          <w:rFonts w:hint="eastAsia" w:ascii="Times New Roman" w:eastAsia="黑体" w:cs="Times New Roman"/>
          <w:b/>
          <w:color w:val="auto"/>
        </w:rPr>
        <w:t>本产品特有风险说明</w:t>
      </w:r>
    </w:p>
    <w:p>
      <w:pPr>
        <w:pStyle w:val="22"/>
        <w:snapToGrid w:val="0"/>
        <w:spacing w:beforeLines="0" w:afterLines="0" w:line="276" w:lineRule="auto"/>
        <w:ind w:firstLine="482"/>
        <w:contextualSpacing/>
        <w:jc w:val="both"/>
        <w:rPr>
          <w:rFonts w:hint="eastAsia" w:ascii="Times New Roman" w:eastAsia="黑体" w:cs="Times New Roman"/>
          <w:b/>
        </w:rPr>
      </w:pPr>
      <w:r>
        <w:rPr>
          <w:rFonts w:hint="eastAsia" w:ascii="Times New Roman" w:eastAsia="黑体" w:cs="Times New Roman"/>
          <w:b/>
        </w:rPr>
        <w:t>本产品由于</w:t>
      </w:r>
      <w:r>
        <w:rPr>
          <w:rFonts w:hint="eastAsia" w:ascii="Times New Roman" w:eastAsia="黑体" w:cs="Times New Roman"/>
          <w:b/>
          <w:lang w:val="en-US" w:eastAsia="zh-CN"/>
        </w:rPr>
        <w:t>投资于</w:t>
      </w:r>
      <w:r>
        <w:rPr>
          <w:rFonts w:hint="eastAsia" w:ascii="Times New Roman" w:hAnsi="Times New Roman" w:eastAsia="黑体" w:cs="Times New Roman"/>
          <w:b/>
          <w:color w:val="000000"/>
          <w:kern w:val="0"/>
          <w:sz w:val="24"/>
        </w:rPr>
        <w:t>固定收益类、权益类资产</w:t>
      </w:r>
      <w:r>
        <w:rPr>
          <w:rFonts w:hint="eastAsia" w:ascii="Times New Roman" w:eastAsia="黑体" w:cs="Times New Roman"/>
          <w:b/>
        </w:rPr>
        <w:t>，因此可能面临如下特定风险：</w:t>
      </w:r>
    </w:p>
    <w:p>
      <w:pPr>
        <w:pStyle w:val="22"/>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交换债券投资风险（如有）：</w:t>
      </w:r>
      <w:r>
        <w:rPr>
          <w:rFonts w:hint="eastAsia" w:ascii="Times New Roman" w:hAnsi="Times New Roman" w:eastAsia="黑体" w:cs="Times New Roman"/>
          <w:b/>
          <w:kern w:val="0"/>
          <w:sz w:val="24"/>
          <w:szCs w:val="24"/>
          <w:lang w:val="en-US" w:eastAsia="zh-CN"/>
        </w:rPr>
        <w:t>A、</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交换债券收益与对应标的股票股价直接挂钩，</w:t>
      </w:r>
      <w:r>
        <w:rPr>
          <w:rFonts w:hint="eastAsia" w:ascii="Times New Roman" w:hAnsi="Times New Roman" w:eastAsia="黑体" w:cs="Times New Roman"/>
          <w:b/>
          <w:kern w:val="0"/>
          <w:sz w:val="24"/>
          <w:szCs w:val="24"/>
          <w:lang w:val="en-US" w:eastAsia="zh-CN"/>
        </w:rPr>
        <w:t>债券价格</w:t>
      </w:r>
      <w:r>
        <w:rPr>
          <w:rFonts w:hint="eastAsia" w:ascii="Times New Roman" w:hAnsi="Times New Roman" w:eastAsia="黑体" w:cs="Times New Roman"/>
          <w:b/>
          <w:kern w:val="0"/>
          <w:sz w:val="24"/>
          <w:szCs w:val="24"/>
        </w:rPr>
        <w:t>可能受</w:t>
      </w:r>
      <w:r>
        <w:rPr>
          <w:rFonts w:hint="eastAsia" w:ascii="Times New Roman" w:hAnsi="Times New Roman" w:eastAsia="黑体" w:cs="Times New Roman"/>
          <w:b/>
          <w:kern w:val="0"/>
          <w:sz w:val="24"/>
          <w:szCs w:val="24"/>
          <w:lang w:val="en-US" w:eastAsia="zh-CN"/>
        </w:rPr>
        <w:t>之</w:t>
      </w:r>
      <w:r>
        <w:rPr>
          <w:rFonts w:hint="eastAsia" w:ascii="Times New Roman" w:hAnsi="Times New Roman" w:eastAsia="黑体" w:cs="Times New Roman"/>
          <w:b/>
          <w:kern w:val="0"/>
          <w:sz w:val="24"/>
          <w:szCs w:val="24"/>
        </w:rPr>
        <w:t>影响；</w:t>
      </w:r>
      <w:r>
        <w:rPr>
          <w:rFonts w:hint="eastAsia" w:ascii="Times New Roman" w:hAnsi="Times New Roman" w:eastAsia="黑体" w:cs="Times New Roman"/>
          <w:b/>
          <w:kern w:val="0"/>
          <w:sz w:val="24"/>
          <w:szCs w:val="24"/>
          <w:lang w:val="en-US" w:eastAsia="zh-CN"/>
        </w:rPr>
        <w:t>B、</w:t>
      </w:r>
      <w:r>
        <w:rPr>
          <w:rFonts w:hint="eastAsia" w:ascii="Times New Roman" w:hAnsi="Times New Roman" w:eastAsia="黑体" w:cs="Times New Roman"/>
          <w:b/>
          <w:kern w:val="0"/>
          <w:sz w:val="24"/>
          <w:szCs w:val="24"/>
        </w:rPr>
        <w:t>转股期内，对应标的股票价格可能低于转股价格，若选择转股，产品将承受标的股票价格低于转股价格之间的价差；</w:t>
      </w:r>
      <w:r>
        <w:rPr>
          <w:rFonts w:hint="eastAsia" w:ascii="Times New Roman" w:hAnsi="Times New Roman" w:eastAsia="黑体" w:cs="Times New Roman"/>
          <w:b/>
          <w:kern w:val="0"/>
          <w:sz w:val="24"/>
          <w:szCs w:val="24"/>
          <w:lang w:val="en-US" w:eastAsia="zh-CN"/>
        </w:rPr>
        <w:t>C、</w:t>
      </w:r>
      <w:r>
        <w:rPr>
          <w:rFonts w:hint="eastAsia" w:ascii="Times New Roman" w:hAnsi="Times New Roman" w:eastAsia="黑体" w:cs="Times New Roman"/>
          <w:b/>
          <w:kern w:val="0"/>
          <w:sz w:val="24"/>
          <w:szCs w:val="24"/>
        </w:rPr>
        <w:t>转股价格向下修正条款触发时，存在发行方</w:t>
      </w:r>
      <w:r>
        <w:rPr>
          <w:rFonts w:hint="eastAsia" w:ascii="Times New Roman" w:hAnsi="Times New Roman" w:eastAsia="黑体" w:cs="Times New Roman"/>
          <w:b/>
          <w:kern w:val="0"/>
          <w:sz w:val="24"/>
          <w:szCs w:val="24"/>
          <w:lang w:val="en-US" w:eastAsia="zh-CN"/>
        </w:rPr>
        <w:t>不</w:t>
      </w:r>
      <w:r>
        <w:rPr>
          <w:rFonts w:hint="eastAsia" w:ascii="Times New Roman" w:hAnsi="Times New Roman" w:eastAsia="黑体" w:cs="Times New Roman"/>
          <w:b/>
          <w:kern w:val="0"/>
          <w:sz w:val="24"/>
          <w:szCs w:val="24"/>
        </w:rPr>
        <w:t>同意修正转股价格的风险；</w:t>
      </w:r>
      <w:r>
        <w:rPr>
          <w:rFonts w:hint="eastAsia" w:ascii="Times New Roman" w:hAnsi="Times New Roman" w:eastAsia="黑体" w:cs="Times New Roman"/>
          <w:b/>
          <w:kern w:val="0"/>
          <w:sz w:val="24"/>
          <w:szCs w:val="24"/>
          <w:lang w:val="en-US" w:eastAsia="zh-CN"/>
        </w:rPr>
        <w:t>D、</w:t>
      </w:r>
      <w:r>
        <w:rPr>
          <w:rFonts w:hint="eastAsia" w:ascii="Times New Roman" w:hAnsi="Times New Roman" w:eastAsia="黑体" w:cs="Times New Roman"/>
          <w:b/>
          <w:kern w:val="0"/>
          <w:sz w:val="24"/>
          <w:szCs w:val="24"/>
        </w:rPr>
        <w:t>赎回条款可能导致债券提前兑付或转股期缩短而影响投资收益的风险；</w:t>
      </w:r>
      <w:r>
        <w:rPr>
          <w:rFonts w:hint="eastAsia" w:ascii="Times New Roman" w:hAnsi="Times New Roman" w:eastAsia="黑体" w:cs="Times New Roman"/>
          <w:b/>
          <w:kern w:val="0"/>
          <w:sz w:val="24"/>
          <w:szCs w:val="24"/>
          <w:lang w:val="en-US" w:eastAsia="zh-CN"/>
        </w:rPr>
        <w:t>E、</w:t>
      </w:r>
      <w:r>
        <w:rPr>
          <w:rFonts w:hint="eastAsia" w:ascii="Times New Roman" w:hAnsi="Times New Roman" w:eastAsia="黑体" w:cs="Times New Roman"/>
          <w:b/>
          <w:kern w:val="0"/>
          <w:sz w:val="24"/>
          <w:szCs w:val="24"/>
        </w:rPr>
        <w:t>存在因政策限制导致无法转股的风险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交换债券投资受到包括但不限于上述因素影响时，可能影响投资者收益，甚至使产品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遭受损失。</w:t>
      </w:r>
      <w:r>
        <w:rPr>
          <w:rFonts w:hint="eastAsia" w:ascii="Times New Roman" w:hAnsi="Times New Roman" w:eastAsia="黑体" w:cs="Times New Roman"/>
          <w:b/>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kern w:val="0"/>
          <w:sz w:val="24"/>
          <w:szCs w:val="24"/>
        </w:rPr>
        <w:t xml:space="preserve">。  </w:t>
      </w:r>
    </w:p>
    <w:p>
      <w:pPr>
        <w:pStyle w:val="22"/>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rPr>
        <w:t>投资于资产支持证券的</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资产支持证券的投资收益取决于</w:t>
      </w:r>
      <w:r>
        <w:rPr>
          <w:rFonts w:hint="eastAsia" w:ascii="Times New Roman" w:hAnsi="Times New Roman" w:eastAsia="黑体" w:cs="Times New Roman"/>
          <w:b/>
          <w:kern w:val="0"/>
          <w:sz w:val="24"/>
          <w:szCs w:val="24"/>
          <w:lang w:val="en-US" w:eastAsia="zh-CN"/>
        </w:rPr>
        <w:t>项下</w:t>
      </w:r>
      <w:r>
        <w:rPr>
          <w:rFonts w:hint="eastAsia" w:ascii="Times New Roman" w:hAnsi="Times New Roman" w:eastAsia="黑体" w:cs="Times New Roman"/>
          <w:b/>
          <w:kern w:val="0"/>
          <w:sz w:val="24"/>
          <w:szCs w:val="24"/>
        </w:rPr>
        <w:t>基础资产情况，如该基础资产发生原始权益人</w:t>
      </w:r>
      <w:r>
        <w:rPr>
          <w:rFonts w:hint="eastAsia" w:ascii="Times New Roman" w:hAnsi="Times New Roman" w:eastAsia="黑体" w:cs="Times New Roman"/>
          <w:b/>
          <w:kern w:val="0"/>
          <w:sz w:val="24"/>
          <w:szCs w:val="24"/>
          <w:lang w:val="en-US" w:eastAsia="zh-CN"/>
        </w:rPr>
        <w:t>偿债能力变化、</w:t>
      </w:r>
      <w:r>
        <w:rPr>
          <w:rFonts w:hint="eastAsia" w:ascii="Times New Roman" w:hAnsi="Times New Roman" w:eastAsia="黑体" w:cs="Times New Roman"/>
          <w:b/>
          <w:kern w:val="0"/>
          <w:sz w:val="24"/>
          <w:szCs w:val="24"/>
        </w:rPr>
        <w:t>破产或基础资产项下现金流未能及时完整</w:t>
      </w:r>
      <w:r>
        <w:rPr>
          <w:rFonts w:hint="eastAsia" w:ascii="Times New Roman" w:hAnsi="Times New Roman" w:eastAsia="黑体" w:cs="Times New Roman"/>
          <w:b/>
          <w:kern w:val="0"/>
          <w:sz w:val="24"/>
          <w:szCs w:val="24"/>
          <w:lang w:val="en-US" w:eastAsia="zh-CN"/>
        </w:rPr>
        <w:t>获</w:t>
      </w:r>
      <w:r>
        <w:rPr>
          <w:rFonts w:hint="eastAsia" w:ascii="Times New Roman" w:hAnsi="Times New Roman" w:eastAsia="黑体" w:cs="Times New Roman"/>
          <w:b/>
          <w:kern w:val="0"/>
          <w:sz w:val="24"/>
          <w:szCs w:val="24"/>
        </w:rPr>
        <w:t>得等情况，资产支持证券的收益将受到影响</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资产支持证券的流动性较低，可能影响投资者收益，甚至使产品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22"/>
        <w:snapToGrid w:val="0"/>
        <w:spacing w:beforeLines="0" w:afterLines="0" w:line="276" w:lineRule="auto"/>
        <w:ind w:firstLine="482"/>
        <w:contextualSpacing/>
        <w:rPr>
          <w:rFonts w:hint="eastAsia" w:ascii="Times New Roman" w:eastAsia="黑体" w:cs="Times New Roman"/>
          <w:b/>
          <w:lang w:val="en-US" w:eastAsia="zh-CN"/>
        </w:rPr>
      </w:pPr>
      <w:r>
        <w:rPr>
          <w:rFonts w:hint="eastAsia" w:ascii="Times New Roman" w:eastAsia="黑体" w:cs="Times New Roman"/>
          <w:b/>
          <w:kern w:val="0"/>
          <w:sz w:val="24"/>
          <w:szCs w:val="24"/>
          <w:lang w:val="en-US" w:eastAsia="zh-CN" w:bidi="ar-SA"/>
        </w:rPr>
        <w:t>3</w:t>
      </w:r>
      <w:r>
        <w:rPr>
          <w:rFonts w:hint="eastAsia" w:ascii="Times New Roman" w:hAnsi="Times New Roman" w:eastAsia="黑体" w:cs="Times New Roman"/>
          <w:b/>
          <w:kern w:val="0"/>
          <w:sz w:val="24"/>
          <w:szCs w:val="24"/>
          <w:lang w:val="en-US" w:eastAsia="zh-CN" w:bidi="ar-SA"/>
        </w:rPr>
        <w:t>.投资于存款类资产的可能风险：本产品拟投资的存款类资产在极端情况下可能面临被拒绝支取、因提前支取而被收取罚息等费用的风险，从而影响投资者收益，甚至使本产品本金遭受损失。</w:t>
      </w:r>
    </w:p>
    <w:p>
      <w:pPr>
        <w:pStyle w:val="22"/>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投资于结构性存款的</w:t>
      </w:r>
      <w:r>
        <w:rPr>
          <w:rFonts w:hint="eastAsia" w:asci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 xml:space="preserve"> 市场风险。结构性存款挂钩的境内外债券、股票、利率、汇率、指数等标的受相关国家或地区的金融市场和经济趋势的影响，收益存在不确定性。</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信用风险。结构性存款</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面临交易对手银行无力偿付或未履行该结构性存款相关义务（含支付义务）的风险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同时结构性存款挂钩的标的如果出现信用违约，结构性存款的本金与收益也会受到影响，在最不利的情况下可能损失全部本金。</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3</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利率风险。结构性存款如挂钩特定债券或债券指数，可能因相关利率变动而导致产品收益发生变化。</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汇率风险。结构性存款如挂钩境外证券资产，可能面临以非人民币计价的各类资产受汇率波动影响而引起人民币估值下的理财产品资产净值波动的风险。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衍生品投资风险。结构性存款所嵌入的金融衍生工具，可能存在</w:t>
      </w:r>
      <w:r>
        <w:rPr>
          <w:rFonts w:hint="eastAsia" w:ascii="Times New Roman" w:hAnsi="Times New Roman" w:eastAsia="黑体" w:cs="Times New Roman"/>
          <w:b/>
          <w:kern w:val="0"/>
          <w:sz w:val="24"/>
          <w:szCs w:val="24"/>
          <w:lang w:val="en-US" w:eastAsia="zh-CN"/>
        </w:rPr>
        <w:t>杠杆</w:t>
      </w:r>
      <w:r>
        <w:rPr>
          <w:rFonts w:hint="eastAsia" w:ascii="Times New Roman" w:hAnsi="Times New Roman" w:eastAsia="黑体" w:cs="Times New Roman"/>
          <w:b/>
          <w:kern w:val="0"/>
          <w:sz w:val="24"/>
          <w:szCs w:val="24"/>
        </w:rPr>
        <w:t>风险、操作风险、交易对手的信用风险、衍生品价格与其基础品种的相关度变化带来的风险等。</w:t>
      </w:r>
      <w:r>
        <w:rPr>
          <w:rFonts w:hint="eastAsia" w:ascii="Times New Roman" w:hAnsi="Times New Roman" w:eastAsia="黑体" w:cs="Times New Roman"/>
          <w:b/>
          <w:kern w:val="0"/>
          <w:sz w:val="24"/>
          <w:szCs w:val="24"/>
          <w:lang w:val="en-US" w:eastAsia="zh-CN"/>
        </w:rPr>
        <w:t>以上风险事项若发现，可能</w:t>
      </w:r>
      <w:r>
        <w:rPr>
          <w:rFonts w:hint="eastAsia" w:ascii="Times New Roman" w:hAnsi="Times New Roman" w:eastAsia="黑体" w:cs="Times New Roman"/>
          <w:b/>
          <w:kern w:val="0"/>
          <w:sz w:val="24"/>
          <w:szCs w:val="24"/>
        </w:rPr>
        <w:t>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22"/>
        <w:snapToGrid w:val="0"/>
        <w:spacing w:beforeLines="0" w:afterLines="0" w:line="276" w:lineRule="auto"/>
        <w:ind w:firstLine="482"/>
        <w:contextualSpacing/>
        <w:rPr>
          <w:rFonts w:hint="eastAsia" w:ascii="Times New Roman" w:hAnsi="Times New Roman" w:eastAsia="黑体" w:cs="Times New Roman"/>
          <w:b/>
          <w:sz w:val="24"/>
          <w:szCs w:val="24"/>
          <w:lang w:val="en-US" w:eastAsia="zh-CN"/>
        </w:rPr>
      </w:pPr>
      <w:r>
        <w:rPr>
          <w:rFonts w:hint="eastAsia" w:ascii="Times New Roman" w:eastAsia="黑体" w:cs="Times New Roman"/>
          <w:b/>
          <w:kern w:val="0"/>
          <w:sz w:val="24"/>
          <w:szCs w:val="24"/>
          <w:lang w:val="en-US" w:eastAsia="zh-CN" w:bidi="ar-SA"/>
        </w:rPr>
        <w:t>5</w:t>
      </w:r>
      <w:r>
        <w:rPr>
          <w:rFonts w:hint="eastAsia" w:ascii="Times New Roman" w:hAnsi="Times New Roman" w:eastAsia="黑体" w:cs="Times New Roman"/>
          <w:b/>
          <w:kern w:val="0"/>
          <w:sz w:val="24"/>
          <w:szCs w:val="24"/>
          <w:lang w:val="en-US" w:eastAsia="zh-CN" w:bidi="ar-SA"/>
        </w:rPr>
        <w:t>.投资于股票类资产的可能风险：国家货币、财政、产业等政策变化对证券市场产生一定的影响，导致市场价格水平波动的风险；宏观经济运行周期性波动，对股票市场的收益水平产生影响的风险；上市公司的经营状况受多种因素影响，如市场、技术、竞争、管理、财务等都可能导致公司盈利发生变化，从而导致股票价格下跌，影响投资者收益，甚至使产品本金遭受损失；股票遭流通和转让限制导致的流动性风险；投资于不同板块、不同市场股票，如投资科创板、创业板、港股通股票等，可能面临因投资标的、市场制度、交易规则、监管法规等差异造成的风险等。</w:t>
      </w:r>
    </w:p>
    <w:p>
      <w:pPr>
        <w:pStyle w:val="22"/>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eastAsia="黑体" w:cs="Times New Roman"/>
          <w:b/>
          <w:kern w:val="0"/>
          <w:sz w:val="24"/>
          <w:szCs w:val="24"/>
          <w:lang w:val="en-US" w:eastAsia="zh-CN" w:bidi="ar-SA"/>
        </w:rPr>
        <w:t>6</w:t>
      </w:r>
      <w:r>
        <w:rPr>
          <w:rFonts w:hint="eastAsia" w:ascii="Times New Roman" w:hAnsi="Times New Roman" w:eastAsia="黑体" w:cs="Times New Roman"/>
          <w:b/>
          <w:kern w:val="0"/>
          <w:sz w:val="24"/>
          <w:szCs w:val="24"/>
          <w:lang w:val="en-US" w:eastAsia="zh-CN" w:bidi="ar-SA"/>
        </w:rPr>
        <w:t xml:space="preserve">.投资于优先股的可能风险：优先股具有固定收益证券的特征，但优先股发行方无到期归还本金的义务，可能发生发行人经营状况恶化、无法足额支付股息的风险，从而影响产品和投资者收益；优先股属于权益类资产，价格受国家各类政策、宏观经济、行业发展等多种因素影响，可能发生波动从而影响产品收益，甚至使产品本金遭受损失。 </w:t>
      </w:r>
    </w:p>
    <w:p>
      <w:pPr>
        <w:pStyle w:val="22"/>
        <w:numPr>
          <w:ilvl w:val="0"/>
          <w:numId w:val="0"/>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lang w:val="en-US" w:eastAsia="zh-CN"/>
        </w:rPr>
        <w:t>7.</w:t>
      </w:r>
      <w:r>
        <w:rPr>
          <w:rFonts w:hint="eastAsia" w:ascii="Times New Roman" w:hAnsi="Times New Roman" w:eastAsia="黑体" w:cs="Times New Roman"/>
          <w:b/>
          <w:kern w:val="0"/>
          <w:sz w:val="24"/>
          <w:szCs w:val="24"/>
          <w:lang w:val="en-US" w:eastAsia="zh-CN" w:bidi="ar-SA"/>
        </w:rPr>
        <w:t>投资于公募基金、信托计划、资产管理计划等资产管理产品的可能风险：由于管理人</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包括本理财产品、所投资的公募基金、信托计划、资产管理计划等资产管理产品的受托人、资产管理人、相关投资顾问</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pStyle w:val="22"/>
        <w:snapToGrid w:val="0"/>
        <w:spacing w:line="276" w:lineRule="auto"/>
        <w:ind w:firstLine="480" w:firstLineChars="200"/>
        <w:contextualSpacing/>
        <w:outlineLvl w:val="1"/>
        <w:rPr>
          <w:rFonts w:ascii="仿宋" w:hAnsi="仿宋" w:eastAsia="仿宋"/>
        </w:rPr>
      </w:pPr>
      <w:r>
        <w:rPr>
          <w:rFonts w:ascii="仿宋" w:hAnsi="仿宋" w:eastAsia="仿宋"/>
        </w:rPr>
        <w:t>（</w:t>
      </w:r>
      <w:r>
        <w:rPr>
          <w:rFonts w:hint="eastAsia" w:ascii="仿宋" w:hAnsi="仿宋" w:eastAsia="仿宋"/>
        </w:rPr>
        <w:t>一</w:t>
      </w:r>
      <w:r>
        <w:rPr>
          <w:rFonts w:ascii="仿宋" w:hAnsi="仿宋" w:eastAsia="仿宋"/>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披露本理财产品信息，披露事项包括理财产品成立、不成立、净值、收益分配、到期、提前终止、调整等内容。</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w:t>
      </w:r>
      <w:r>
        <w:rPr>
          <w:rFonts w:ascii="仿宋" w:hAnsi="仿宋" w:eastAsia="仿宋" w:cs="宋体"/>
          <w:kern w:val="0"/>
          <w:sz w:val="24"/>
        </w:rPr>
        <w:t>约定披露产品净值</w:t>
      </w:r>
      <w:r>
        <w:rPr>
          <w:rFonts w:hint="eastAsia" w:ascii="仿宋" w:hAnsi="仿宋" w:eastAsia="仿宋" w:cs="宋体"/>
          <w:kern w:val="0"/>
          <w:sz w:val="24"/>
        </w:rPr>
        <w:t>。</w:t>
      </w:r>
    </w:p>
    <w:p>
      <w:pPr>
        <w:pStyle w:val="22"/>
        <w:snapToGrid w:val="0"/>
        <w:spacing w:line="276" w:lineRule="auto"/>
        <w:ind w:firstLine="480" w:firstLineChars="200"/>
        <w:contextualSpacing/>
        <w:outlineLvl w:val="1"/>
        <w:rPr>
          <w:rFonts w:ascii="仿宋" w:hAnsi="仿宋" w:eastAsia="仿宋"/>
        </w:rPr>
      </w:pPr>
      <w:r>
        <w:rPr>
          <w:rFonts w:ascii="仿宋" w:hAnsi="仿宋" w:eastAsia="仿宋"/>
        </w:rPr>
        <w:t>（二）理财产品临时</w:t>
      </w:r>
      <w:r>
        <w:rPr>
          <w:rFonts w:hint="eastAsia" w:ascii="仿宋" w:hAnsi="仿宋" w:eastAsia="仿宋"/>
        </w:rPr>
        <w:t>性</w:t>
      </w:r>
      <w:r>
        <w:rPr>
          <w:rFonts w:ascii="仿宋" w:hAnsi="仿宋" w:eastAsia="仿宋"/>
        </w:rPr>
        <w:t>信息披露</w:t>
      </w:r>
      <w:r>
        <w:rPr>
          <w:rFonts w:hint="eastAsia" w:ascii="仿宋" w:hAnsi="仿宋" w:eastAsia="仿宋"/>
        </w:rPr>
        <w:t>及重大事项公告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本理财产品存续期间如发生华夏</w:t>
      </w:r>
      <w:r>
        <w:rPr>
          <w:rFonts w:hint="eastAsia" w:ascii="仿宋" w:hAnsi="仿宋" w:eastAsia="仿宋" w:cs="宋体"/>
          <w:color w:val="000000"/>
          <w:kern w:val="0"/>
          <w:sz w:val="24"/>
        </w:rPr>
        <w:t>理财</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hint="eastAsia" w:ascii="仿宋" w:hAnsi="仿宋" w:eastAsia="仿宋" w:cs="宋体"/>
          <w:color w:val="000000"/>
          <w:kern w:val="0"/>
          <w:sz w:val="24"/>
        </w:rPr>
        <w:t>理财将在事项发生后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b/>
          <w:bCs/>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w:t>
      </w:r>
      <w:r>
        <w:rPr>
          <w:rFonts w:hint="eastAsia" w:ascii="仿宋" w:hAnsi="仿宋" w:eastAsia="仿宋" w:cs="宋体"/>
          <w:kern w:val="0"/>
          <w:sz w:val="24"/>
        </w:rPr>
        <w:t>信息披露</w:t>
      </w:r>
      <w:r>
        <w:rPr>
          <w:rFonts w:hint="eastAsia" w:ascii="仿宋" w:hAnsi="仿宋" w:eastAsia="仿宋" w:cs="宋体"/>
          <w:color w:val="000000"/>
          <w:kern w:val="0"/>
          <w:sz w:val="24"/>
        </w:rPr>
        <w:t>渠道予以公告</w:t>
      </w:r>
      <w:r>
        <w:rPr>
          <w:rFonts w:hint="eastAsia" w:ascii="仿宋" w:hAnsi="仿宋" w:eastAsia="仿宋" w:cs="宋体"/>
          <w:kern w:val="0"/>
          <w:sz w:val="24"/>
        </w:rPr>
        <w:t>；</w:t>
      </w:r>
      <w:r>
        <w:rPr>
          <w:rFonts w:hint="eastAsia" w:ascii="仿宋" w:hAnsi="仿宋" w:eastAsia="仿宋" w:cs="宋体"/>
          <w:b/>
          <w:bCs/>
          <w:kern w:val="0"/>
          <w:sz w:val="24"/>
        </w:rPr>
        <w:t>其中，对于华夏理财增加费用名目、提高收费标准等对投资者利益产生实质不利影响的情形，投资者如不接受，可按</w:t>
      </w:r>
      <w:r>
        <w:rPr>
          <w:rFonts w:ascii="仿宋" w:hAnsi="仿宋" w:eastAsia="仿宋" w:cs="宋体"/>
          <w:b/>
          <w:bCs/>
          <w:kern w:val="0"/>
          <w:sz w:val="24"/>
        </w:rPr>
        <w:t>信息披露中确定的方式</w:t>
      </w:r>
      <w:r>
        <w:rPr>
          <w:rFonts w:hint="eastAsia" w:ascii="仿宋" w:hAnsi="仿宋" w:eastAsia="仿宋" w:cs="宋体"/>
          <w:b/>
          <w:bCs/>
          <w:kern w:val="0"/>
          <w:sz w:val="24"/>
        </w:rPr>
        <w:t>和</w:t>
      </w:r>
      <w:r>
        <w:rPr>
          <w:rFonts w:ascii="仿宋" w:hAnsi="仿宋" w:eastAsia="仿宋" w:cs="宋体"/>
          <w:b/>
          <w:bCs/>
          <w:kern w:val="0"/>
          <w:sz w:val="24"/>
        </w:rPr>
        <w:t>时限</w:t>
      </w:r>
      <w:r>
        <w:rPr>
          <w:rFonts w:hint="eastAsia" w:ascii="仿宋" w:hAnsi="仿宋" w:eastAsia="仿宋" w:cs="宋体"/>
          <w:b/>
          <w:bCs/>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w:t>
      </w:r>
      <w:r>
        <w:rPr>
          <w:rFonts w:hint="eastAsia" w:ascii="仿宋" w:hAnsi="仿宋" w:eastAsia="仿宋" w:cs="宋体"/>
          <w:kern w:val="0"/>
          <w:sz w:val="24"/>
        </w:rPr>
        <w:t>信息披露</w:t>
      </w:r>
      <w:r>
        <w:rPr>
          <w:rFonts w:hint="eastAsia" w:ascii="仿宋" w:hAnsi="仿宋" w:eastAsia="仿宋" w:cs="宋体"/>
          <w:color w:val="000000"/>
          <w:kern w:val="0"/>
          <w:sz w:val="24"/>
        </w:rPr>
        <w:t>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在发生涉及理财产品认（申）购、赎回事项调整或潜在影响投资者赎回等事项时，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在运用收取短期赎回费、摆动定价等措施后，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在运用暂停认（申）购、延期办理巨额赎回申请、暂停接受赎回申请、延缓支付赎回款项、暂停理财产品估值等措施后，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pStyle w:val="22"/>
        <w:snapToGrid w:val="0"/>
        <w:spacing w:line="276" w:lineRule="auto"/>
        <w:ind w:firstLine="480" w:firstLineChars="200"/>
        <w:contextualSpacing/>
        <w:outlineLvl w:val="1"/>
        <w:rPr>
          <w:rFonts w:ascii="仿宋" w:hAnsi="仿宋" w:eastAsia="仿宋"/>
        </w:rPr>
      </w:pPr>
      <w:r>
        <w:rPr>
          <w:rFonts w:ascii="仿宋" w:hAnsi="仿宋" w:eastAsia="仿宋"/>
        </w:rPr>
        <w:t>（</w:t>
      </w:r>
      <w:r>
        <w:rPr>
          <w:rFonts w:hint="eastAsia" w:ascii="仿宋" w:hAnsi="仿宋" w:eastAsia="仿宋"/>
        </w:rPr>
        <w:t>三</w:t>
      </w:r>
      <w:r>
        <w:rPr>
          <w:rFonts w:ascii="仿宋" w:hAnsi="仿宋" w:eastAsia="仿宋"/>
        </w:rPr>
        <w:t>）</w:t>
      </w:r>
      <w:r>
        <w:rPr>
          <w:rFonts w:hint="eastAsia" w:ascii="仿宋" w:hAnsi="仿宋" w:eastAsia="仿宋"/>
        </w:rPr>
        <w:t>管理人</w:t>
      </w:r>
      <w:r>
        <w:rPr>
          <w:rFonts w:ascii="仿宋" w:hAnsi="仿宋" w:eastAsia="仿宋"/>
        </w:rPr>
        <w:t>信息披露</w:t>
      </w:r>
      <w:r>
        <w:rPr>
          <w:rFonts w:hint="eastAsia" w:ascii="仿宋" w:hAnsi="仿宋" w:eastAsia="仿宋"/>
        </w:rPr>
        <w:t>的方式</w:t>
      </w:r>
      <w:r>
        <w:rPr>
          <w:rFonts w:ascii="仿宋" w:hAnsi="仿宋" w:eastAsia="仿宋"/>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w:t>
      </w:r>
      <w:r>
        <w:rPr>
          <w:rFonts w:hint="eastAsia" w:ascii="仿宋" w:hAnsi="仿宋" w:eastAsia="仿宋" w:cs="宋体"/>
          <w:b/>
          <w:kern w:val="0"/>
          <w:sz w:val="24"/>
        </w:rPr>
        <w:t>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ascii="仿宋" w:hAnsi="仿宋" w:eastAsia="仿宋" w:cs="宋体"/>
          <w:b/>
          <w:kern w:val="0"/>
          <w:sz w:val="24"/>
        </w:rPr>
        <w:t>查询</w:t>
      </w:r>
      <w:r>
        <w:rPr>
          <w:rFonts w:hint="eastAsia" w:ascii="仿宋" w:hAnsi="仿宋" w:eastAsia="仿宋" w:cs="宋体"/>
          <w:kern w:val="0"/>
          <w:sz w:val="24"/>
        </w:rPr>
        <w:t>。</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（四）投资者关于信息披露的确认</w:t>
      </w:r>
    </w:p>
    <w:p>
      <w:pPr>
        <w:spacing w:after="156" w:afterLines="50" w:line="276" w:lineRule="auto"/>
        <w:ind w:firstLine="480"/>
        <w:contextualSpacing/>
        <w:rPr>
          <w:rFonts w:eastAsia="黑体"/>
          <w:b/>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widowControl/>
        <w:adjustRightInd w:val="0"/>
        <w:snapToGrid w:val="0"/>
        <w:spacing w:line="276" w:lineRule="auto"/>
        <w:ind w:firstLine="482" w:firstLineChars="200"/>
        <w:contextualSpacing/>
        <w:rPr>
          <w:rFonts w:eastAsia="黑体"/>
          <w:b/>
          <w:bCs/>
          <w:sz w:val="24"/>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pP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r>
        <w:rPr>
          <w:rFonts w:hint="eastAsia" w:ascii="仿宋" w:hAnsi="仿宋" w:eastAsia="仿宋" w:cs="宋体"/>
          <w:color w:val="000000"/>
          <w:kern w:val="0"/>
          <w:sz w:val="24"/>
        </w:rPr>
        <w:t xml:space="preserve">              </w:t>
      </w:r>
    </w:p>
    <w:sectPr>
      <w:headerReference r:id="rId5"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auto"/>
    <w:pitch w:val="default"/>
    <w:sig w:usb0="00000000" w:usb1="00000000" w:usb2="0000003F" w:usb3="00000000" w:csb0="003F01FF" w:csb1="00000000"/>
  </w:font>
  <w:font w:name="仿宋_GB2312">
    <w:altName w:val="仿宋"/>
    <w:panose1 w:val="02010609030101010101"/>
    <w:charset w:val="86"/>
    <w:family w:val="auto"/>
    <w:pitch w:val="default"/>
    <w:sig w:usb0="00000000" w:usb1="00000000" w:usb2="00000010" w:usb3="00000000" w:csb0="00040000" w:csb1="00000000"/>
  </w:font>
  <w:font w:name="微软简仿宋">
    <w:panose1 w:val="00000000000000000000"/>
    <w:charset w:val="86"/>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spacing w:line="360" w:lineRule="auto"/>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531EDCD"/>
    <w:multiLevelType w:val="singleLevel"/>
    <w:tmpl w:val="6531EDCD"/>
    <w:lvl w:ilvl="0" w:tentative="0">
      <w:start w:val="15"/>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2DCA"/>
    <w:rsid w:val="0000532D"/>
    <w:rsid w:val="00020F81"/>
    <w:rsid w:val="0004783E"/>
    <w:rsid w:val="00063561"/>
    <w:rsid w:val="00064D76"/>
    <w:rsid w:val="000713E1"/>
    <w:rsid w:val="000805E4"/>
    <w:rsid w:val="000A3C07"/>
    <w:rsid w:val="000B2313"/>
    <w:rsid w:val="000B32CF"/>
    <w:rsid w:val="000C6CF0"/>
    <w:rsid w:val="000D002A"/>
    <w:rsid w:val="000D7DE2"/>
    <w:rsid w:val="000E195A"/>
    <w:rsid w:val="000E7817"/>
    <w:rsid w:val="000F0804"/>
    <w:rsid w:val="00111D14"/>
    <w:rsid w:val="001260F4"/>
    <w:rsid w:val="001318D7"/>
    <w:rsid w:val="00141481"/>
    <w:rsid w:val="001423F3"/>
    <w:rsid w:val="00146323"/>
    <w:rsid w:val="00170760"/>
    <w:rsid w:val="00172A27"/>
    <w:rsid w:val="001B29E5"/>
    <w:rsid w:val="001E22CF"/>
    <w:rsid w:val="001E4307"/>
    <w:rsid w:val="001F6E3A"/>
    <w:rsid w:val="00214B23"/>
    <w:rsid w:val="0022758F"/>
    <w:rsid w:val="00227F2A"/>
    <w:rsid w:val="00294355"/>
    <w:rsid w:val="002A2967"/>
    <w:rsid w:val="002A2FEF"/>
    <w:rsid w:val="002E7F9D"/>
    <w:rsid w:val="00311EF5"/>
    <w:rsid w:val="00317320"/>
    <w:rsid w:val="00351C38"/>
    <w:rsid w:val="00365E5C"/>
    <w:rsid w:val="003923B3"/>
    <w:rsid w:val="003B2A65"/>
    <w:rsid w:val="003B5F8B"/>
    <w:rsid w:val="003C2EBD"/>
    <w:rsid w:val="003D55AF"/>
    <w:rsid w:val="003D65A8"/>
    <w:rsid w:val="003E4BEB"/>
    <w:rsid w:val="003E7186"/>
    <w:rsid w:val="003F4E18"/>
    <w:rsid w:val="003F6114"/>
    <w:rsid w:val="004021F4"/>
    <w:rsid w:val="0044086D"/>
    <w:rsid w:val="00462536"/>
    <w:rsid w:val="004734C8"/>
    <w:rsid w:val="00494748"/>
    <w:rsid w:val="004A15DE"/>
    <w:rsid w:val="004A2A5F"/>
    <w:rsid w:val="004C4084"/>
    <w:rsid w:val="004E60FD"/>
    <w:rsid w:val="004E7D97"/>
    <w:rsid w:val="004F4E81"/>
    <w:rsid w:val="004F648F"/>
    <w:rsid w:val="005016FC"/>
    <w:rsid w:val="005114E6"/>
    <w:rsid w:val="00512B7C"/>
    <w:rsid w:val="00516401"/>
    <w:rsid w:val="00557AC8"/>
    <w:rsid w:val="005604F6"/>
    <w:rsid w:val="00560CC1"/>
    <w:rsid w:val="005727C8"/>
    <w:rsid w:val="005C08EC"/>
    <w:rsid w:val="005F66E4"/>
    <w:rsid w:val="00601E1F"/>
    <w:rsid w:val="006075D0"/>
    <w:rsid w:val="00613BD1"/>
    <w:rsid w:val="00650968"/>
    <w:rsid w:val="00656FE9"/>
    <w:rsid w:val="0066020C"/>
    <w:rsid w:val="00667B5F"/>
    <w:rsid w:val="00670595"/>
    <w:rsid w:val="00677437"/>
    <w:rsid w:val="00681E3A"/>
    <w:rsid w:val="0068328B"/>
    <w:rsid w:val="006860DD"/>
    <w:rsid w:val="0069073D"/>
    <w:rsid w:val="006915E0"/>
    <w:rsid w:val="006D3A14"/>
    <w:rsid w:val="006E0E9D"/>
    <w:rsid w:val="006E742E"/>
    <w:rsid w:val="006F119A"/>
    <w:rsid w:val="006F13D3"/>
    <w:rsid w:val="00712CC7"/>
    <w:rsid w:val="00714E33"/>
    <w:rsid w:val="007311CA"/>
    <w:rsid w:val="00734D46"/>
    <w:rsid w:val="0076606B"/>
    <w:rsid w:val="00777429"/>
    <w:rsid w:val="007815CF"/>
    <w:rsid w:val="00792744"/>
    <w:rsid w:val="007D5695"/>
    <w:rsid w:val="007F32C1"/>
    <w:rsid w:val="00807591"/>
    <w:rsid w:val="008277B6"/>
    <w:rsid w:val="008340D5"/>
    <w:rsid w:val="00836CF0"/>
    <w:rsid w:val="00843345"/>
    <w:rsid w:val="00846F1F"/>
    <w:rsid w:val="008505CE"/>
    <w:rsid w:val="00852D93"/>
    <w:rsid w:val="00863612"/>
    <w:rsid w:val="00887E73"/>
    <w:rsid w:val="008D19F3"/>
    <w:rsid w:val="008D5335"/>
    <w:rsid w:val="008D5F85"/>
    <w:rsid w:val="008E0C40"/>
    <w:rsid w:val="008E628E"/>
    <w:rsid w:val="008F10DC"/>
    <w:rsid w:val="008F6891"/>
    <w:rsid w:val="00902123"/>
    <w:rsid w:val="00916782"/>
    <w:rsid w:val="00930217"/>
    <w:rsid w:val="00971A91"/>
    <w:rsid w:val="00972105"/>
    <w:rsid w:val="00991FA8"/>
    <w:rsid w:val="009A3572"/>
    <w:rsid w:val="009C0A85"/>
    <w:rsid w:val="009C4B76"/>
    <w:rsid w:val="009C5840"/>
    <w:rsid w:val="009E3137"/>
    <w:rsid w:val="009E6D89"/>
    <w:rsid w:val="009F0D25"/>
    <w:rsid w:val="009F1CB5"/>
    <w:rsid w:val="00A25440"/>
    <w:rsid w:val="00A33474"/>
    <w:rsid w:val="00A51A90"/>
    <w:rsid w:val="00A547BE"/>
    <w:rsid w:val="00A87692"/>
    <w:rsid w:val="00A93593"/>
    <w:rsid w:val="00A978E7"/>
    <w:rsid w:val="00AA15B6"/>
    <w:rsid w:val="00AA7D8A"/>
    <w:rsid w:val="00AD7FE0"/>
    <w:rsid w:val="00AE07B3"/>
    <w:rsid w:val="00AE1B0B"/>
    <w:rsid w:val="00AE26B5"/>
    <w:rsid w:val="00AE7F75"/>
    <w:rsid w:val="00AF3F07"/>
    <w:rsid w:val="00B22A7A"/>
    <w:rsid w:val="00B47C68"/>
    <w:rsid w:val="00B5695A"/>
    <w:rsid w:val="00BA2B7F"/>
    <w:rsid w:val="00BA77A8"/>
    <w:rsid w:val="00BB3661"/>
    <w:rsid w:val="00BB4269"/>
    <w:rsid w:val="00BC4B7F"/>
    <w:rsid w:val="00BE076D"/>
    <w:rsid w:val="00BE4A47"/>
    <w:rsid w:val="00C00313"/>
    <w:rsid w:val="00C04074"/>
    <w:rsid w:val="00C04B81"/>
    <w:rsid w:val="00C33E4C"/>
    <w:rsid w:val="00CD5A26"/>
    <w:rsid w:val="00CE50FA"/>
    <w:rsid w:val="00D04171"/>
    <w:rsid w:val="00D04582"/>
    <w:rsid w:val="00D06C20"/>
    <w:rsid w:val="00D316BA"/>
    <w:rsid w:val="00D3392B"/>
    <w:rsid w:val="00D34745"/>
    <w:rsid w:val="00D55F86"/>
    <w:rsid w:val="00D65353"/>
    <w:rsid w:val="00D8696C"/>
    <w:rsid w:val="00D919BF"/>
    <w:rsid w:val="00DC3F67"/>
    <w:rsid w:val="00DD0C1D"/>
    <w:rsid w:val="00DE02F1"/>
    <w:rsid w:val="00DE2987"/>
    <w:rsid w:val="00E46D53"/>
    <w:rsid w:val="00E67222"/>
    <w:rsid w:val="00E80727"/>
    <w:rsid w:val="00E8155A"/>
    <w:rsid w:val="00E816F5"/>
    <w:rsid w:val="00E82284"/>
    <w:rsid w:val="00E879FF"/>
    <w:rsid w:val="00E95A0F"/>
    <w:rsid w:val="00EA3D6E"/>
    <w:rsid w:val="00EE7A2F"/>
    <w:rsid w:val="00F17ED8"/>
    <w:rsid w:val="00F37C88"/>
    <w:rsid w:val="00F444A8"/>
    <w:rsid w:val="00F5357A"/>
    <w:rsid w:val="00F55B95"/>
    <w:rsid w:val="00F56D69"/>
    <w:rsid w:val="00F9415B"/>
    <w:rsid w:val="00FC1677"/>
    <w:rsid w:val="00FD2903"/>
    <w:rsid w:val="00FE1291"/>
    <w:rsid w:val="00FE482B"/>
    <w:rsid w:val="00FF56AD"/>
    <w:rsid w:val="018D5F51"/>
    <w:rsid w:val="01DC7EE3"/>
    <w:rsid w:val="01EB6FEC"/>
    <w:rsid w:val="020578AC"/>
    <w:rsid w:val="02377743"/>
    <w:rsid w:val="026A609C"/>
    <w:rsid w:val="03357777"/>
    <w:rsid w:val="03C00FC5"/>
    <w:rsid w:val="03DB06FE"/>
    <w:rsid w:val="046E56D3"/>
    <w:rsid w:val="049D2AC6"/>
    <w:rsid w:val="04B16B62"/>
    <w:rsid w:val="05215177"/>
    <w:rsid w:val="054369B0"/>
    <w:rsid w:val="06106106"/>
    <w:rsid w:val="06490B74"/>
    <w:rsid w:val="06996718"/>
    <w:rsid w:val="06E52844"/>
    <w:rsid w:val="07026ACD"/>
    <w:rsid w:val="08961A5A"/>
    <w:rsid w:val="08A96CC2"/>
    <w:rsid w:val="08D03FC7"/>
    <w:rsid w:val="0A0F44CD"/>
    <w:rsid w:val="0AA97A8C"/>
    <w:rsid w:val="0B047D48"/>
    <w:rsid w:val="0B9C5D9B"/>
    <w:rsid w:val="0BA27F6B"/>
    <w:rsid w:val="0C024483"/>
    <w:rsid w:val="0C510FA4"/>
    <w:rsid w:val="0C53265C"/>
    <w:rsid w:val="0C9E5955"/>
    <w:rsid w:val="0D4C0E51"/>
    <w:rsid w:val="0D511F69"/>
    <w:rsid w:val="0D5A24E8"/>
    <w:rsid w:val="0DC52C23"/>
    <w:rsid w:val="0DD002B9"/>
    <w:rsid w:val="0DF70178"/>
    <w:rsid w:val="0E3C3C0F"/>
    <w:rsid w:val="0E966946"/>
    <w:rsid w:val="0EE542A1"/>
    <w:rsid w:val="0F0E3C1D"/>
    <w:rsid w:val="0F2862EC"/>
    <w:rsid w:val="0F2F40E2"/>
    <w:rsid w:val="0F806FD5"/>
    <w:rsid w:val="0FE53808"/>
    <w:rsid w:val="105D61FB"/>
    <w:rsid w:val="10AF5991"/>
    <w:rsid w:val="117C0D4E"/>
    <w:rsid w:val="11BB3DB9"/>
    <w:rsid w:val="11D21B30"/>
    <w:rsid w:val="123B658C"/>
    <w:rsid w:val="12822D5D"/>
    <w:rsid w:val="12AD4D73"/>
    <w:rsid w:val="12C45FA4"/>
    <w:rsid w:val="12CD4972"/>
    <w:rsid w:val="12FA2A1E"/>
    <w:rsid w:val="12FB08EA"/>
    <w:rsid w:val="13B35082"/>
    <w:rsid w:val="142741A0"/>
    <w:rsid w:val="149D64EC"/>
    <w:rsid w:val="14F661AC"/>
    <w:rsid w:val="14FD2EFF"/>
    <w:rsid w:val="152A1DB0"/>
    <w:rsid w:val="155D4436"/>
    <w:rsid w:val="1637208E"/>
    <w:rsid w:val="16457F02"/>
    <w:rsid w:val="1675525F"/>
    <w:rsid w:val="169510B8"/>
    <w:rsid w:val="16B5042D"/>
    <w:rsid w:val="16DD4AF1"/>
    <w:rsid w:val="174C5C47"/>
    <w:rsid w:val="178D27B4"/>
    <w:rsid w:val="180A32C2"/>
    <w:rsid w:val="182014A2"/>
    <w:rsid w:val="18294E04"/>
    <w:rsid w:val="1892050E"/>
    <w:rsid w:val="18967A67"/>
    <w:rsid w:val="18D80C51"/>
    <w:rsid w:val="18EE0BF6"/>
    <w:rsid w:val="18FF0F1B"/>
    <w:rsid w:val="198557BA"/>
    <w:rsid w:val="19CE04CC"/>
    <w:rsid w:val="1A707A6D"/>
    <w:rsid w:val="1A7D6D25"/>
    <w:rsid w:val="1A816486"/>
    <w:rsid w:val="1A893942"/>
    <w:rsid w:val="1A907FA2"/>
    <w:rsid w:val="1AD533CC"/>
    <w:rsid w:val="1B5F5984"/>
    <w:rsid w:val="1BA64FD1"/>
    <w:rsid w:val="1BBC5A18"/>
    <w:rsid w:val="1BC627CF"/>
    <w:rsid w:val="1BE97487"/>
    <w:rsid w:val="1C6357AF"/>
    <w:rsid w:val="1CAC5E2B"/>
    <w:rsid w:val="1CDF5587"/>
    <w:rsid w:val="1CF10D78"/>
    <w:rsid w:val="1D023468"/>
    <w:rsid w:val="1D0736D5"/>
    <w:rsid w:val="1D5D728B"/>
    <w:rsid w:val="1D795BF8"/>
    <w:rsid w:val="1E356AFA"/>
    <w:rsid w:val="1E724912"/>
    <w:rsid w:val="1E7F770F"/>
    <w:rsid w:val="1E8F70B8"/>
    <w:rsid w:val="1E936936"/>
    <w:rsid w:val="1F4F61EE"/>
    <w:rsid w:val="1F527064"/>
    <w:rsid w:val="204A0870"/>
    <w:rsid w:val="204C73E3"/>
    <w:rsid w:val="20740963"/>
    <w:rsid w:val="20C822D8"/>
    <w:rsid w:val="21B36B87"/>
    <w:rsid w:val="21FA0627"/>
    <w:rsid w:val="220D5EC8"/>
    <w:rsid w:val="22220369"/>
    <w:rsid w:val="223431B1"/>
    <w:rsid w:val="223A7FB3"/>
    <w:rsid w:val="22A15AE0"/>
    <w:rsid w:val="22C149FC"/>
    <w:rsid w:val="22F1518B"/>
    <w:rsid w:val="238C25BD"/>
    <w:rsid w:val="246A62AE"/>
    <w:rsid w:val="24A91031"/>
    <w:rsid w:val="2540580E"/>
    <w:rsid w:val="254A0B53"/>
    <w:rsid w:val="25665B19"/>
    <w:rsid w:val="25E72FA7"/>
    <w:rsid w:val="273147E4"/>
    <w:rsid w:val="27487015"/>
    <w:rsid w:val="27A05C6E"/>
    <w:rsid w:val="27A50231"/>
    <w:rsid w:val="27A506F6"/>
    <w:rsid w:val="27DC5671"/>
    <w:rsid w:val="28347384"/>
    <w:rsid w:val="287A4275"/>
    <w:rsid w:val="29711978"/>
    <w:rsid w:val="298634AE"/>
    <w:rsid w:val="2A567387"/>
    <w:rsid w:val="2AC21136"/>
    <w:rsid w:val="2AED21E9"/>
    <w:rsid w:val="2B3649F4"/>
    <w:rsid w:val="2B4675FA"/>
    <w:rsid w:val="2B667304"/>
    <w:rsid w:val="2BB602C5"/>
    <w:rsid w:val="2BC67352"/>
    <w:rsid w:val="2BD85FC4"/>
    <w:rsid w:val="2BF50AB4"/>
    <w:rsid w:val="2C1C5AFD"/>
    <w:rsid w:val="2C4A3CAE"/>
    <w:rsid w:val="2C7E551B"/>
    <w:rsid w:val="2C9021AC"/>
    <w:rsid w:val="2CC66E03"/>
    <w:rsid w:val="2CDB7E63"/>
    <w:rsid w:val="2D434FF8"/>
    <w:rsid w:val="2DA05DCE"/>
    <w:rsid w:val="2E410428"/>
    <w:rsid w:val="2EC208DF"/>
    <w:rsid w:val="2F223C18"/>
    <w:rsid w:val="2F401A95"/>
    <w:rsid w:val="2F517C68"/>
    <w:rsid w:val="2F854CC7"/>
    <w:rsid w:val="2FDD2BC4"/>
    <w:rsid w:val="2FF679D7"/>
    <w:rsid w:val="3058472F"/>
    <w:rsid w:val="30653C55"/>
    <w:rsid w:val="307C6D47"/>
    <w:rsid w:val="30B93C1E"/>
    <w:rsid w:val="30F83A0E"/>
    <w:rsid w:val="320C78A0"/>
    <w:rsid w:val="322D4AD1"/>
    <w:rsid w:val="3235704A"/>
    <w:rsid w:val="32726967"/>
    <w:rsid w:val="329A0B6A"/>
    <w:rsid w:val="329D05C7"/>
    <w:rsid w:val="32C642E9"/>
    <w:rsid w:val="32D2088E"/>
    <w:rsid w:val="32E479BE"/>
    <w:rsid w:val="332573C9"/>
    <w:rsid w:val="3375578E"/>
    <w:rsid w:val="33F3040F"/>
    <w:rsid w:val="34854AB1"/>
    <w:rsid w:val="34A63F82"/>
    <w:rsid w:val="34BF4198"/>
    <w:rsid w:val="350A7012"/>
    <w:rsid w:val="360161F0"/>
    <w:rsid w:val="36050641"/>
    <w:rsid w:val="361F6B5B"/>
    <w:rsid w:val="36365F0F"/>
    <w:rsid w:val="365C6B3D"/>
    <w:rsid w:val="369F292C"/>
    <w:rsid w:val="372651A6"/>
    <w:rsid w:val="379A4E61"/>
    <w:rsid w:val="37AC5C27"/>
    <w:rsid w:val="382265A3"/>
    <w:rsid w:val="385467B2"/>
    <w:rsid w:val="386B45BC"/>
    <w:rsid w:val="387A56B5"/>
    <w:rsid w:val="39223F50"/>
    <w:rsid w:val="394C6E9C"/>
    <w:rsid w:val="39915230"/>
    <w:rsid w:val="39A47D94"/>
    <w:rsid w:val="39B533F4"/>
    <w:rsid w:val="39CD5E4B"/>
    <w:rsid w:val="3A166DB1"/>
    <w:rsid w:val="3A6464DA"/>
    <w:rsid w:val="3ADD5052"/>
    <w:rsid w:val="3B0D1F3F"/>
    <w:rsid w:val="3B35691C"/>
    <w:rsid w:val="3B376401"/>
    <w:rsid w:val="3B8B78CF"/>
    <w:rsid w:val="3BE5682B"/>
    <w:rsid w:val="3C345451"/>
    <w:rsid w:val="3C691FB2"/>
    <w:rsid w:val="3CD93877"/>
    <w:rsid w:val="3D1957A0"/>
    <w:rsid w:val="3D3B3330"/>
    <w:rsid w:val="3D794D6C"/>
    <w:rsid w:val="3D896A63"/>
    <w:rsid w:val="3EB035E6"/>
    <w:rsid w:val="3F996600"/>
    <w:rsid w:val="401A73E5"/>
    <w:rsid w:val="40270632"/>
    <w:rsid w:val="40897331"/>
    <w:rsid w:val="41084885"/>
    <w:rsid w:val="41204B42"/>
    <w:rsid w:val="413B574D"/>
    <w:rsid w:val="41637739"/>
    <w:rsid w:val="41A75327"/>
    <w:rsid w:val="42503F0E"/>
    <w:rsid w:val="42511776"/>
    <w:rsid w:val="425C3FD4"/>
    <w:rsid w:val="42726493"/>
    <w:rsid w:val="43A6660D"/>
    <w:rsid w:val="44C2436C"/>
    <w:rsid w:val="44D90650"/>
    <w:rsid w:val="45225B34"/>
    <w:rsid w:val="454247FC"/>
    <w:rsid w:val="456B1E84"/>
    <w:rsid w:val="45905D94"/>
    <w:rsid w:val="45937A12"/>
    <w:rsid w:val="45AB7274"/>
    <w:rsid w:val="45C2437E"/>
    <w:rsid w:val="46247283"/>
    <w:rsid w:val="464740FB"/>
    <w:rsid w:val="466B4F36"/>
    <w:rsid w:val="46945BA3"/>
    <w:rsid w:val="469C1860"/>
    <w:rsid w:val="48100387"/>
    <w:rsid w:val="48636ED0"/>
    <w:rsid w:val="489F1960"/>
    <w:rsid w:val="48AD6D6F"/>
    <w:rsid w:val="492F3120"/>
    <w:rsid w:val="49866A44"/>
    <w:rsid w:val="4A646C71"/>
    <w:rsid w:val="4A73155F"/>
    <w:rsid w:val="4A974BFD"/>
    <w:rsid w:val="4B041272"/>
    <w:rsid w:val="4B9A6CD9"/>
    <w:rsid w:val="4CC42E4B"/>
    <w:rsid w:val="4CD55DF0"/>
    <w:rsid w:val="4DA41B7F"/>
    <w:rsid w:val="4DED30E6"/>
    <w:rsid w:val="4E006899"/>
    <w:rsid w:val="4E4604CC"/>
    <w:rsid w:val="4E6B607B"/>
    <w:rsid w:val="4E7E67D5"/>
    <w:rsid w:val="4E834167"/>
    <w:rsid w:val="4EE704C2"/>
    <w:rsid w:val="500E145A"/>
    <w:rsid w:val="500E49CD"/>
    <w:rsid w:val="500F1CD5"/>
    <w:rsid w:val="50B507A1"/>
    <w:rsid w:val="50F30A3E"/>
    <w:rsid w:val="511358B5"/>
    <w:rsid w:val="511D25A1"/>
    <w:rsid w:val="5143646D"/>
    <w:rsid w:val="51695710"/>
    <w:rsid w:val="51A36407"/>
    <w:rsid w:val="51D60B75"/>
    <w:rsid w:val="51D91B25"/>
    <w:rsid w:val="51DA4F03"/>
    <w:rsid w:val="5202225E"/>
    <w:rsid w:val="521557F3"/>
    <w:rsid w:val="52C77658"/>
    <w:rsid w:val="52DB0D77"/>
    <w:rsid w:val="538C26A5"/>
    <w:rsid w:val="53BF0718"/>
    <w:rsid w:val="54C77260"/>
    <w:rsid w:val="56423C8E"/>
    <w:rsid w:val="56444969"/>
    <w:rsid w:val="56516960"/>
    <w:rsid w:val="57176092"/>
    <w:rsid w:val="57262273"/>
    <w:rsid w:val="575C7B62"/>
    <w:rsid w:val="57DD0263"/>
    <w:rsid w:val="58083A83"/>
    <w:rsid w:val="581B10FA"/>
    <w:rsid w:val="582156EE"/>
    <w:rsid w:val="58427747"/>
    <w:rsid w:val="58B94C78"/>
    <w:rsid w:val="58BB4CDB"/>
    <w:rsid w:val="58F96B51"/>
    <w:rsid w:val="59685B0E"/>
    <w:rsid w:val="59AD702D"/>
    <w:rsid w:val="59D14CC4"/>
    <w:rsid w:val="59EF730D"/>
    <w:rsid w:val="59FF73A2"/>
    <w:rsid w:val="5A945937"/>
    <w:rsid w:val="5AA340C2"/>
    <w:rsid w:val="5AB6501F"/>
    <w:rsid w:val="5B8F2FBA"/>
    <w:rsid w:val="5B9E1D5B"/>
    <w:rsid w:val="5BCB323C"/>
    <w:rsid w:val="5CC83D65"/>
    <w:rsid w:val="5D1A20AD"/>
    <w:rsid w:val="5D790E7F"/>
    <w:rsid w:val="5D885D8B"/>
    <w:rsid w:val="5DC24B3C"/>
    <w:rsid w:val="5DC63A4E"/>
    <w:rsid w:val="5DED53D1"/>
    <w:rsid w:val="5E1B7959"/>
    <w:rsid w:val="5EAD142E"/>
    <w:rsid w:val="5EF76013"/>
    <w:rsid w:val="5EFE5A8B"/>
    <w:rsid w:val="5F3F3BFD"/>
    <w:rsid w:val="5F7071A8"/>
    <w:rsid w:val="5FC6181B"/>
    <w:rsid w:val="60066955"/>
    <w:rsid w:val="600B7B81"/>
    <w:rsid w:val="601211DC"/>
    <w:rsid w:val="60292197"/>
    <w:rsid w:val="610C5CC5"/>
    <w:rsid w:val="612829F8"/>
    <w:rsid w:val="619A0DA9"/>
    <w:rsid w:val="61C43619"/>
    <w:rsid w:val="62060BAA"/>
    <w:rsid w:val="6210426E"/>
    <w:rsid w:val="62126C3A"/>
    <w:rsid w:val="62325267"/>
    <w:rsid w:val="63510BEE"/>
    <w:rsid w:val="637E758B"/>
    <w:rsid w:val="638119A8"/>
    <w:rsid w:val="642D51FD"/>
    <w:rsid w:val="64312382"/>
    <w:rsid w:val="644E4B1D"/>
    <w:rsid w:val="64651B49"/>
    <w:rsid w:val="648C2CC5"/>
    <w:rsid w:val="64A11C37"/>
    <w:rsid w:val="64A55F1E"/>
    <w:rsid w:val="64BA04E0"/>
    <w:rsid w:val="652C5EC9"/>
    <w:rsid w:val="65353764"/>
    <w:rsid w:val="657171FE"/>
    <w:rsid w:val="65A12701"/>
    <w:rsid w:val="65A46AEA"/>
    <w:rsid w:val="65EC5F0A"/>
    <w:rsid w:val="65EE67C8"/>
    <w:rsid w:val="66EC4D96"/>
    <w:rsid w:val="6736101B"/>
    <w:rsid w:val="68370CCC"/>
    <w:rsid w:val="68454880"/>
    <w:rsid w:val="684D7DEF"/>
    <w:rsid w:val="68585ADF"/>
    <w:rsid w:val="68A77809"/>
    <w:rsid w:val="68C94029"/>
    <w:rsid w:val="68E95002"/>
    <w:rsid w:val="68F660B3"/>
    <w:rsid w:val="695217DC"/>
    <w:rsid w:val="69923628"/>
    <w:rsid w:val="69C37032"/>
    <w:rsid w:val="69DF13A6"/>
    <w:rsid w:val="6A2C55E6"/>
    <w:rsid w:val="6A5034F9"/>
    <w:rsid w:val="6AFC54E5"/>
    <w:rsid w:val="6B2F26F6"/>
    <w:rsid w:val="6B570828"/>
    <w:rsid w:val="6B895F90"/>
    <w:rsid w:val="6BD916EE"/>
    <w:rsid w:val="6BF803B2"/>
    <w:rsid w:val="6C2514C3"/>
    <w:rsid w:val="6CCA1A7F"/>
    <w:rsid w:val="6CCA2908"/>
    <w:rsid w:val="6CFA7701"/>
    <w:rsid w:val="6D966B59"/>
    <w:rsid w:val="6DD3641A"/>
    <w:rsid w:val="6E035291"/>
    <w:rsid w:val="6E1206A4"/>
    <w:rsid w:val="6E5A3D7E"/>
    <w:rsid w:val="6FC85320"/>
    <w:rsid w:val="6FDB28A3"/>
    <w:rsid w:val="6FE32862"/>
    <w:rsid w:val="703933A1"/>
    <w:rsid w:val="70AA0758"/>
    <w:rsid w:val="70B61502"/>
    <w:rsid w:val="70CE17C7"/>
    <w:rsid w:val="70F5166C"/>
    <w:rsid w:val="71981EC0"/>
    <w:rsid w:val="71EF5ACB"/>
    <w:rsid w:val="72145BFB"/>
    <w:rsid w:val="722B706A"/>
    <w:rsid w:val="723369CC"/>
    <w:rsid w:val="723B233B"/>
    <w:rsid w:val="724F5D5C"/>
    <w:rsid w:val="72595DB6"/>
    <w:rsid w:val="72850EF0"/>
    <w:rsid w:val="728E0A16"/>
    <w:rsid w:val="729371FE"/>
    <w:rsid w:val="72C43ABF"/>
    <w:rsid w:val="72E929DE"/>
    <w:rsid w:val="72EF2B1D"/>
    <w:rsid w:val="73655FDF"/>
    <w:rsid w:val="738D015F"/>
    <w:rsid w:val="73990B03"/>
    <w:rsid w:val="73A15E73"/>
    <w:rsid w:val="73A6112F"/>
    <w:rsid w:val="745751F5"/>
    <w:rsid w:val="74892FD1"/>
    <w:rsid w:val="74CF7316"/>
    <w:rsid w:val="74FB18F9"/>
    <w:rsid w:val="75616560"/>
    <w:rsid w:val="75E158E8"/>
    <w:rsid w:val="75F80517"/>
    <w:rsid w:val="769C48A8"/>
    <w:rsid w:val="76C57715"/>
    <w:rsid w:val="771479EA"/>
    <w:rsid w:val="771C35A1"/>
    <w:rsid w:val="77A03719"/>
    <w:rsid w:val="78223427"/>
    <w:rsid w:val="789923C9"/>
    <w:rsid w:val="78A4259B"/>
    <w:rsid w:val="78C31CAF"/>
    <w:rsid w:val="78C3642C"/>
    <w:rsid w:val="78CE6E70"/>
    <w:rsid w:val="78FC6178"/>
    <w:rsid w:val="795B3486"/>
    <w:rsid w:val="79B75ECC"/>
    <w:rsid w:val="79E45FD6"/>
    <w:rsid w:val="7A52270E"/>
    <w:rsid w:val="7AD0105B"/>
    <w:rsid w:val="7AF92581"/>
    <w:rsid w:val="7B044A15"/>
    <w:rsid w:val="7B170E00"/>
    <w:rsid w:val="7B3057E8"/>
    <w:rsid w:val="7B3A013A"/>
    <w:rsid w:val="7B471A04"/>
    <w:rsid w:val="7B655D19"/>
    <w:rsid w:val="7C214BB4"/>
    <w:rsid w:val="7C721F5F"/>
    <w:rsid w:val="7C7D36C4"/>
    <w:rsid w:val="7D197A3B"/>
    <w:rsid w:val="7D1F7EDB"/>
    <w:rsid w:val="7D3707EB"/>
    <w:rsid w:val="7D5070A0"/>
    <w:rsid w:val="7D772F67"/>
    <w:rsid w:val="7DAC4B36"/>
    <w:rsid w:val="7E431677"/>
    <w:rsid w:val="7E5572E2"/>
    <w:rsid w:val="7E9A3A0C"/>
    <w:rsid w:val="7ED67996"/>
    <w:rsid w:val="7F116F65"/>
    <w:rsid w:val="7F516160"/>
    <w:rsid w:val="7F976FF4"/>
    <w:rsid w:val="7FD45F9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sz w:val="24"/>
    </w:rPr>
  </w:style>
  <w:style w:type="paragraph" w:styleId="4">
    <w:name w:val="heading 3"/>
    <w:basedOn w:val="1"/>
    <w:next w:val="1"/>
    <w:qFormat/>
    <w:uiPriority w:val="0"/>
    <w:pPr>
      <w:keepNext/>
      <w:keepLines/>
      <w:spacing w:before="260" w:after="260" w:line="413" w:lineRule="auto"/>
      <w:outlineLvl w:val="2"/>
    </w:pPr>
    <w:rPr>
      <w:rFonts w:ascii="Calibri" w:hAnsi="Calibri"/>
      <w:b/>
      <w:sz w:val="24"/>
    </w:rPr>
  </w:style>
  <w:style w:type="character" w:default="1" w:styleId="13">
    <w:name w:val="Default Paragraph Font"/>
    <w:unhideWhenUsed/>
    <w:qFormat/>
    <w:uiPriority w:val="1"/>
  </w:style>
  <w:style w:type="table" w:default="1" w:styleId="11">
    <w:name w:val="Normal Table"/>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Indent"/>
    <w:basedOn w:val="1"/>
    <w:unhideWhenUsed/>
    <w:qFormat/>
    <w:uiPriority w:val="0"/>
    <w:pPr>
      <w:ind w:firstLine="630"/>
    </w:pPr>
    <w:rPr>
      <w:kern w:val="0"/>
      <w:sz w:val="24"/>
    </w:rPr>
  </w:style>
  <w:style w:type="paragraph" w:styleId="7">
    <w:name w:val="Body Text Indent 2"/>
    <w:basedOn w:val="1"/>
    <w:unhideWhenUsed/>
    <w:qFormat/>
    <w:uiPriority w:val="0"/>
    <w:pPr>
      <w:ind w:firstLine="600"/>
    </w:pPr>
    <w:rPr>
      <w:kern w:val="0"/>
      <w:sz w:val="24"/>
    </w:rPr>
  </w:style>
  <w:style w:type="paragraph" w:styleId="8">
    <w:name w:val="Balloon Text"/>
    <w:basedOn w:val="1"/>
    <w:semiHidden/>
    <w:qFormat/>
    <w:uiPriority w:val="0"/>
    <w:rPr>
      <w:sz w:val="18"/>
      <w:szCs w:val="18"/>
    </w:rPr>
  </w:style>
  <w:style w:type="paragraph" w:styleId="9">
    <w:name w:val="footer"/>
    <w:basedOn w:val="1"/>
    <w:unhideWhenUsed/>
    <w:qFormat/>
    <w:uiPriority w:val="0"/>
    <w:pPr>
      <w:tabs>
        <w:tab w:val="center" w:pos="4153"/>
        <w:tab w:val="right" w:pos="8306"/>
      </w:tabs>
      <w:snapToGrid w:val="0"/>
      <w:jc w:val="left"/>
    </w:pPr>
    <w:rPr>
      <w:sz w:val="18"/>
      <w:szCs w:val="20"/>
    </w:rPr>
  </w:style>
  <w:style w:type="paragraph" w:styleId="10">
    <w:name w:val="header"/>
    <w:basedOn w:val="1"/>
    <w:unhideWhenUsed/>
    <w:qFormat/>
    <w:uiPriority w:val="0"/>
    <w:pPr>
      <w:pBdr>
        <w:bottom w:val="single" w:color="auto" w:sz="6" w:space="1"/>
      </w:pBdr>
      <w:tabs>
        <w:tab w:val="center" w:pos="4153"/>
        <w:tab w:val="right" w:pos="8306"/>
      </w:tabs>
      <w:snapToGrid w:val="0"/>
      <w:jc w:val="center"/>
    </w:pPr>
    <w:rPr>
      <w:sz w:val="18"/>
      <w:szCs w:val="20"/>
    </w:rPr>
  </w:style>
  <w:style w:type="table" w:styleId="12">
    <w:name w:val="Table Grid"/>
    <w:basedOn w:val="11"/>
    <w:unhideWhenUsed/>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qFormat/>
    <w:uiPriority w:val="0"/>
  </w:style>
  <w:style w:type="character" w:styleId="15">
    <w:name w:val="Emphasis"/>
    <w:qFormat/>
    <w:uiPriority w:val="0"/>
  </w:style>
  <w:style w:type="character" w:styleId="16">
    <w:name w:val="HTML Definition"/>
    <w:qFormat/>
    <w:uiPriority w:val="0"/>
  </w:style>
  <w:style w:type="character" w:styleId="17">
    <w:name w:val="HTML Acronym"/>
    <w:basedOn w:val="13"/>
    <w:qFormat/>
    <w:uiPriority w:val="0"/>
  </w:style>
  <w:style w:type="character" w:styleId="18">
    <w:name w:val="HTML Variable"/>
    <w:qFormat/>
    <w:uiPriority w:val="0"/>
  </w:style>
  <w:style w:type="character" w:styleId="19">
    <w:name w:val="HTML Code"/>
    <w:qFormat/>
    <w:uiPriority w:val="0"/>
    <w:rPr>
      <w:rFonts w:ascii="Courier New" w:hAnsi="Courier New"/>
      <w:sz w:val="20"/>
      <w:shd w:val="clear" w:color="auto" w:fill="FFFFFF"/>
    </w:rPr>
  </w:style>
  <w:style w:type="character" w:styleId="20">
    <w:name w:val="HTML Cite"/>
    <w:qFormat/>
    <w:uiPriority w:val="0"/>
  </w:style>
  <w:style w:type="paragraph" w:customStyle="1" w:styleId="21">
    <w:name w:val="正文 A"/>
    <w:qFormat/>
    <w:uiPriority w:val="0"/>
    <w:pPr>
      <w:widowControl w:val="0"/>
      <w:spacing w:line="560" w:lineRule="atLeast"/>
      <w:ind w:firstLine="640"/>
      <w:jc w:val="both"/>
    </w:pPr>
    <w:rPr>
      <w:rFonts w:ascii="Arial Unicode MS" w:hAnsi="Arial Unicode MS" w:eastAsia="宋体" w:cs="Arial Unicode MS"/>
      <w:color w:val="000000"/>
      <w:kern w:val="2"/>
      <w:sz w:val="32"/>
      <w:szCs w:val="32"/>
      <w:u w:val="none" w:color="000000"/>
      <w:lang w:val="en-US" w:eastAsia="zh-CN" w:bidi="ar-SA"/>
    </w:rPr>
  </w:style>
  <w:style w:type="paragraph" w:customStyle="1" w:styleId="2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3">
    <w:name w:val="YJH-nei"/>
    <w:qFormat/>
    <w:uiPriority w:val="0"/>
    <w:pPr>
      <w:spacing w:line="600" w:lineRule="exact"/>
      <w:ind w:firstLine="200" w:firstLineChars="200"/>
    </w:pPr>
    <w:rPr>
      <w:rFonts w:ascii="仿宋_GB2312" w:hAnsi="宋体" w:eastAsia="仿宋_GB2312" w:cs="Times New Roman"/>
      <w:sz w:val="30"/>
      <w:szCs w:val="30"/>
      <w:lang w:val="en-US" w:eastAsia="zh-CN" w:bidi="ar-SA"/>
    </w:rPr>
  </w:style>
  <w:style w:type="paragraph" w:customStyle="1" w:styleId="24">
    <w:name w:val="p0"/>
    <w:basedOn w:val="1"/>
    <w:qFormat/>
    <w:uiPriority w:val="0"/>
    <w:pPr>
      <w:widowControl/>
    </w:pPr>
    <w:rPr>
      <w:kern w:val="0"/>
      <w:szCs w:val="21"/>
    </w:rPr>
  </w:style>
  <w:style w:type="character" w:customStyle="1" w:styleId="25">
    <w:name w:val="leftmenu-morenav"/>
    <w:basedOn w:val="13"/>
    <w:qFormat/>
    <w:uiPriority w:val="0"/>
  </w:style>
  <w:style w:type="character" w:customStyle="1" w:styleId="26">
    <w:name w:val="disabled"/>
    <w:qFormat/>
    <w:uiPriority w:val="0"/>
    <w:rPr>
      <w:color w:val="CCCCCC"/>
      <w:bdr w:val="single" w:color="CCCCCC" w:sz="6" w:space="0"/>
    </w:rPr>
  </w:style>
  <w:style w:type="character" w:customStyle="1" w:styleId="27">
    <w:name w:val="font11"/>
    <w:qFormat/>
    <w:uiPriority w:val="0"/>
    <w:rPr>
      <w:rFonts w:hint="default" w:ascii="微软简仿宋" w:hAnsi="微软简仿宋" w:eastAsia="微软简仿宋" w:cs="微软简仿宋"/>
      <w:color w:val="000000"/>
      <w:sz w:val="24"/>
      <w:szCs w:val="24"/>
      <w:u w:val="none"/>
    </w:rPr>
  </w:style>
  <w:style w:type="character" w:customStyle="1" w:styleId="28">
    <w:name w:val="current"/>
    <w:qFormat/>
    <w:uiPriority w:val="0"/>
    <w:rPr>
      <w:color w:val="FFFFFF"/>
      <w:bdr w:val="single" w:color="8DB5D7" w:sz="6" w:space="0"/>
      <w:shd w:val="clear" w:color="auto" w:fill="0080FF"/>
    </w:rPr>
  </w:style>
  <w:style w:type="character" w:customStyle="1" w:styleId="29">
    <w:name w:val="font51"/>
    <w:qFormat/>
    <w:uiPriority w:val="0"/>
    <w:rPr>
      <w:rFonts w:hint="default" w:ascii="Times New Roman" w:hAnsi="Times New Roman" w:cs="Times New Roman"/>
      <w:color w:val="000000"/>
      <w:sz w:val="24"/>
      <w:szCs w:val="24"/>
      <w:u w:val="none"/>
    </w:rPr>
  </w:style>
  <w:style w:type="character" w:customStyle="1" w:styleId="30">
    <w:name w:val="font81"/>
    <w:qFormat/>
    <w:uiPriority w:val="0"/>
    <w:rPr>
      <w:rFonts w:hint="default" w:ascii="微软简仿宋" w:hAnsi="微软简仿宋" w:eastAsia="微软简仿宋" w:cs="微软简仿宋"/>
      <w:color w:val="000000"/>
      <w:sz w:val="24"/>
      <w:szCs w:val="24"/>
      <w:u w:val="none"/>
    </w:rPr>
  </w:style>
  <w:style w:type="character" w:customStyle="1" w:styleId="31">
    <w:name w:val="font01"/>
    <w:qFormat/>
    <w:uiPriority w:val="0"/>
    <w:rPr>
      <w:rFonts w:hint="default" w:ascii="Times New Roman" w:hAnsi="Times New Roman" w:cs="Times New Roman"/>
      <w:color w:val="000000"/>
      <w:sz w:val="24"/>
      <w:szCs w:val="24"/>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18</Pages>
  <Words>18183</Words>
  <Characters>18762</Characters>
  <Lines>138</Lines>
  <Paragraphs>38</Paragraphs>
  <TotalTime>2</TotalTime>
  <ScaleCrop>false</ScaleCrop>
  <LinksUpToDate>false</LinksUpToDate>
  <CharactersWithSpaces>0</CharactersWithSpaces>
  <Application>WPS Office_11.8.2.12089_F1E327BC-269C-435d-A152-05C5408002CA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2022-12-28T12:32:00Z</dcterms:created>
  <dc:creator>ylh</dc:creator>
  <cp:keywords>新版;22-12-28</cp:keywords>
  <cp:lastModifiedBy>苏晨晓</cp:lastModifiedBy>
  <dcterms:modified xsi:type="dcterms:W3CDTF">2025-04-09T11:26:51Z</dcterms:modified>
  <dc:title>华夏理财固定收益增强最短持有</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ICV">
    <vt:lpwstr>769DEC2D12E94BA69ED1C0DF2A3C022A</vt:lpwstr>
  </property>
</Properties>
</file>