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hint="eastAsia" w:eastAsia="黑体"/>
          <w:bCs/>
          <w:sz w:val="36"/>
          <w:szCs w:val="36"/>
        </w:rPr>
      </w:pPr>
      <w:bookmarkStart w:id="7" w:name="_GoBack"/>
      <w:bookmarkEnd w:id="7"/>
      <w:r>
        <w:rPr>
          <w:rFonts w:hint="eastAsia" w:eastAsia="黑体"/>
          <w:bCs/>
          <w:sz w:val="36"/>
          <w:szCs w:val="36"/>
        </w:rPr>
        <w:t>华夏理财</w:t>
      </w:r>
      <w:r>
        <w:rPr>
          <w:rFonts w:hint="eastAsia" w:eastAsia="黑体"/>
          <w:bCs/>
          <w:sz w:val="36"/>
          <w:szCs w:val="36"/>
          <w:lang w:val="en-US" w:eastAsia="zh-CN"/>
        </w:rPr>
        <w:t>悦安鑫</w:t>
      </w:r>
      <w:r>
        <w:rPr>
          <w:rFonts w:hint="eastAsia" w:eastAsia="黑体"/>
          <w:bCs/>
          <w:sz w:val="36"/>
          <w:szCs w:val="36"/>
        </w:rPr>
        <w:t>固定收益债权型封闭式理财产品</w:t>
      </w:r>
    </w:p>
    <w:p>
      <w:pPr>
        <w:pStyle w:val="3"/>
        <w:widowControl/>
        <w:spacing w:line="240" w:lineRule="auto"/>
        <w:ind w:firstLine="0"/>
        <w:jc w:val="center"/>
        <w:rPr>
          <w:rFonts w:eastAsia="黑体"/>
          <w:bCs/>
          <w:sz w:val="36"/>
          <w:szCs w:val="36"/>
        </w:rPr>
      </w:pPr>
      <w:r>
        <w:rPr>
          <w:rFonts w:hint="eastAsia" w:eastAsia="黑体"/>
          <w:bCs/>
          <w:sz w:val="36"/>
          <w:szCs w:val="36"/>
          <w:lang w:val="en-US" w:eastAsia="zh-CN"/>
        </w:rPr>
        <w:t>40号</w:t>
      </w: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w:t>
            </w:r>
            <w:r>
              <w:rPr>
                <w:rFonts w:hint="eastAsia" w:ascii="仿宋" w:hAnsi="仿宋" w:eastAsia="仿宋"/>
                <w:b/>
                <w:bCs/>
                <w:szCs w:val="21"/>
                <w:lang w:val="en-US" w:eastAsia="zh-CN"/>
              </w:rPr>
              <w:t>悦安鑫</w:t>
            </w:r>
            <w:r>
              <w:rPr>
                <w:rFonts w:hint="eastAsia" w:ascii="仿宋" w:hAnsi="仿宋" w:eastAsia="仿宋"/>
                <w:b/>
                <w:bCs/>
                <w:szCs w:val="21"/>
              </w:rPr>
              <w:t>固定收益债权型封闭式理财产品</w:t>
            </w:r>
            <w:r>
              <w:rPr>
                <w:rFonts w:hint="eastAsia" w:ascii="仿宋" w:hAnsi="仿宋" w:eastAsia="仿宋"/>
                <w:b/>
                <w:bCs/>
                <w:szCs w:val="21"/>
                <w:lang w:val="en-US" w:eastAsia="zh-CN"/>
              </w:rPr>
              <w:t>40</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w:t>
            </w:r>
            <w:r>
              <w:rPr>
                <w:rFonts w:hint="eastAsia" w:ascii="仿宋" w:hAnsi="仿宋" w:eastAsia="仿宋"/>
                <w:b/>
                <w:bCs/>
                <w:szCs w:val="21"/>
                <w:lang w:eastAsia="zh-CN"/>
              </w:rPr>
              <w:t>华夏理财悦安鑫固收债权封闭式40号196天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Z份额</w:t>
            </w:r>
            <w:r>
              <w:rPr>
                <w:rFonts w:hint="eastAsia" w:ascii="仿宋" w:hAnsi="仿宋" w:eastAsia="仿宋"/>
                <w:b/>
                <w:bCs/>
                <w:szCs w:val="21"/>
              </w:rPr>
              <w:t>简称：“</w:t>
            </w:r>
            <w:r>
              <w:rPr>
                <w:rFonts w:hint="eastAsia" w:ascii="仿宋" w:hAnsi="仿宋" w:eastAsia="仿宋"/>
                <w:b/>
                <w:bCs/>
                <w:szCs w:val="21"/>
                <w:lang w:eastAsia="zh-CN"/>
              </w:rPr>
              <w:t>华夏理财悦安鑫固收债权封闭式40号196天</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eastAsia="仿宋"/>
                <w:lang w:val="en-US" w:eastAsia="zh-CN"/>
              </w:rPr>
            </w:pPr>
            <w:r>
              <w:rPr>
                <w:rFonts w:hint="eastAsia" w:ascii="仿宋" w:hAnsi="仿宋" w:eastAsia="仿宋"/>
                <w:bCs/>
                <w:szCs w:val="21"/>
                <w:lang w:eastAsia="zh-CN"/>
              </w:rPr>
              <w:t>25121840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w:t>
            </w:r>
            <w:r>
              <w:rPr>
                <w:rFonts w:hint="eastAsia" w:ascii="仿宋" w:hAnsi="仿宋" w:eastAsia="仿宋"/>
                <w:bCs/>
                <w:szCs w:val="21"/>
                <w:lang w:eastAsia="zh-CN"/>
              </w:rPr>
              <w:t>25121840</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Z份额</w:t>
            </w:r>
            <w:r>
              <w:rPr>
                <w:rFonts w:hint="eastAsia" w:ascii="仿宋" w:hAnsi="仿宋" w:eastAsia="仿宋"/>
                <w:bCs/>
                <w:szCs w:val="21"/>
              </w:rPr>
              <w:t>代码：</w:t>
            </w:r>
            <w:r>
              <w:rPr>
                <w:rFonts w:hint="eastAsia" w:ascii="仿宋" w:hAnsi="仿宋" w:eastAsia="仿宋"/>
                <w:bCs/>
                <w:szCs w:val="21"/>
                <w:lang w:eastAsia="zh-CN"/>
              </w:rPr>
              <w:t>25121840</w:t>
            </w:r>
            <w:r>
              <w:rPr>
                <w:rFonts w:hint="eastAsia" w:ascii="仿宋" w:hAnsi="仿宋" w:eastAsia="仿宋"/>
                <w:bCs/>
                <w:szCs w:val="21"/>
                <w:lang w:val="en-US" w:eastAsia="zh-CN"/>
              </w:rPr>
              <w:t>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Z7003924000663</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个人投资者、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hint="eastAsia"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u w:val="singl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bCs/>
                <w:szCs w:val="21"/>
              </w:rPr>
              <w:t>A份额</w:t>
            </w:r>
            <w:r>
              <w:rPr>
                <w:rFonts w:hint="eastAsia" w:ascii="仿宋" w:hAnsi="仿宋" w:eastAsia="仿宋" w:cs="Cambria"/>
                <w:bCs/>
                <w:szCs w:val="21"/>
              </w:rPr>
              <w:t>业绩比较基准为</w:t>
            </w:r>
            <w:r>
              <w:rPr>
                <w:rFonts w:hint="eastAsia" w:ascii="仿宋" w:hAnsi="仿宋" w:eastAsia="仿宋" w:cs="Cambria"/>
                <w:bCs/>
                <w:szCs w:val="21"/>
                <w:lang w:val="en-US" w:eastAsia="zh-CN"/>
              </w:rPr>
              <w:t>2.35%-2.65%</w:t>
            </w:r>
            <w:r>
              <w:rPr>
                <w:rFonts w:hint="eastAsia" w:ascii="仿宋" w:hAnsi="仿宋" w:eastAsia="仿宋" w:cs="Cambria"/>
                <w:bCs/>
                <w:szCs w:val="21"/>
              </w:rPr>
              <w:t>（年化）</w:t>
            </w:r>
            <w:r>
              <w:rPr>
                <w:rFonts w:hint="eastAsia" w:ascii="仿宋" w:hAnsi="仿宋" w:eastAsia="仿宋" w:cs="Cambria"/>
                <w:bCs/>
                <w:szCs w:val="21"/>
                <w:lang w:val="en-US" w:eastAsia="zh-CN"/>
              </w:rPr>
              <w:t>；</w:t>
            </w:r>
            <w:r>
              <w:rPr>
                <w:rFonts w:hint="eastAsia" w:ascii="仿宋" w:hAnsi="仿宋" w:eastAsia="仿宋"/>
                <w:bCs/>
                <w:szCs w:val="21"/>
                <w:lang w:val="en-US" w:eastAsia="zh-CN"/>
              </w:rPr>
              <w:t>Z份额</w:t>
            </w:r>
            <w:r>
              <w:rPr>
                <w:rFonts w:hint="eastAsia" w:ascii="仿宋" w:hAnsi="仿宋" w:eastAsia="仿宋" w:cs="Cambria"/>
                <w:bCs/>
                <w:szCs w:val="21"/>
              </w:rPr>
              <w:t>业绩比较基准为</w:t>
            </w:r>
            <w:r>
              <w:rPr>
                <w:rFonts w:hint="eastAsia" w:ascii="仿宋" w:hAnsi="仿宋" w:eastAsia="仿宋" w:cs="Cambria"/>
                <w:bCs/>
                <w:szCs w:val="21"/>
                <w:lang w:val="en-US" w:eastAsia="zh-CN"/>
              </w:rPr>
              <w:t>2.30%-2.60%</w:t>
            </w:r>
            <w:r>
              <w:rPr>
                <w:rFonts w:hint="eastAsia" w:ascii="仿宋" w:hAnsi="仿宋" w:eastAsia="仿宋" w:cs="Cambria"/>
                <w:bCs/>
                <w:szCs w:val="21"/>
              </w:rPr>
              <w:t>（年化）。产品全部投资于固定收益类资产，以产品投资于存款、债券类资产仓位60%-100%，非标债权类资产仓位0-40%，组合杠杆率100%-140%为例，参考当前债券类资产收益率、非标债权类资产目标收益率，结合低波动类资产组合配置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2" w:colFirst="1" w:colLast="1"/>
            <w:bookmarkStart w:id="2" w:name="_Hlk290294163"/>
            <w:bookmarkStart w:id="3" w:name="OLE_LINK3"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25</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31</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196</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lang w:val="en-US" w:eastAsia="zh-CN"/>
              </w:rPr>
              <w:t>面向全国</w:t>
            </w:r>
            <w:r>
              <w:rPr>
                <w:rFonts w:hint="eastAsia" w:ascii="仿宋" w:hAnsi="仿宋" w:eastAsia="仿宋"/>
                <w:bCs/>
                <w:szCs w:val="21"/>
              </w:rPr>
              <w:t>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Z份额</w:t>
            </w:r>
            <w:r>
              <w:rPr>
                <w:rFonts w:hint="eastAsia" w:ascii="仿宋" w:hAnsi="仿宋" w:eastAsia="仿宋"/>
                <w:bCs/>
                <w:szCs w:val="21"/>
              </w:rPr>
              <w:t>：</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w:t>
            </w:r>
            <w:r>
              <w:rPr>
                <w:rFonts w:hint="default" w:ascii="仿宋" w:hAnsi="仿宋" w:eastAsia="仿宋"/>
                <w:b/>
                <w:bCs w:val="0"/>
                <w:szCs w:val="21"/>
                <w:lang w:val="en-US"/>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w:t>
            </w:r>
            <w:r>
              <w:rPr>
                <w:rFonts w:hint="default" w:ascii="仿宋" w:hAnsi="仿宋" w:eastAsia="仿宋"/>
                <w:b/>
                <w:bCs w:val="0"/>
                <w:szCs w:val="21"/>
                <w:lang w:val="en-US"/>
              </w:rPr>
              <w:t>3</w:t>
            </w:r>
            <w:r>
              <w:rPr>
                <w:rFonts w:hint="eastAsia" w:ascii="仿宋" w:hAnsi="仿宋" w:eastAsia="仿宋"/>
                <w:b/>
                <w:bCs w:val="0"/>
                <w:szCs w:val="21"/>
              </w:rPr>
              <w:t>%】</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Times New Roman"/>
                <w:b/>
                <w:szCs w:val="21"/>
              </w:rPr>
              <w:t>A份额：</w:t>
            </w:r>
            <w:r>
              <w:rPr>
                <w:rFonts w:ascii="仿宋" w:hAnsi="仿宋" w:eastAsia="仿宋"/>
                <w:b/>
                <w:szCs w:val="21"/>
              </w:rPr>
              <w:t>0.</w:t>
            </w:r>
            <w:r>
              <w:rPr>
                <w:rFonts w:hint="eastAsia" w:ascii="仿宋" w:hAnsi="仿宋" w:eastAsia="仿宋"/>
                <w:b/>
                <w:szCs w:val="21"/>
                <w:lang w:val="en-US" w:eastAsia="zh-CN"/>
              </w:rPr>
              <w:t>10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Times New Roman"/>
                <w:b/>
                <w:szCs w:val="21"/>
                <w:lang w:val="en-US" w:eastAsia="zh-CN"/>
              </w:rPr>
              <w:t>Z份额</w:t>
            </w:r>
            <w:r>
              <w:rPr>
                <w:rFonts w:hint="eastAsia" w:ascii="仿宋" w:hAnsi="仿宋" w:eastAsia="仿宋" w:cs="Times New Roman"/>
                <w:b/>
                <w:szCs w:val="21"/>
              </w:rPr>
              <w:t>：</w:t>
            </w:r>
            <w:r>
              <w:rPr>
                <w:rFonts w:ascii="仿宋" w:hAnsi="仿宋" w:eastAsia="仿宋"/>
                <w:b/>
                <w:szCs w:val="21"/>
              </w:rPr>
              <w:t>0.</w:t>
            </w:r>
            <w:r>
              <w:rPr>
                <w:rFonts w:hint="eastAsia" w:ascii="仿宋" w:hAnsi="仿宋" w:eastAsia="仿宋"/>
                <w:b/>
                <w:szCs w:val="21"/>
                <w:lang w:val="en-US" w:eastAsia="zh-CN"/>
              </w:rPr>
              <w:t>1</w:t>
            </w:r>
            <w:r>
              <w:rPr>
                <w:rFonts w:hint="default" w:ascii="仿宋" w:hAnsi="仿宋" w:eastAsia="仿宋"/>
                <w:b/>
                <w:szCs w:val="21"/>
                <w:lang w:val="en-US" w:eastAsia="zh-CN"/>
              </w:rPr>
              <w:t>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10</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hint="default" w:ascii="仿宋" w:hAnsi="仿宋" w:eastAsia="仿宋"/>
                <w:b/>
                <w:bCs w:val="0"/>
                <w:szCs w:val="21"/>
                <w:lang w:val="en-US"/>
              </w:rPr>
              <w:t>0.</w:t>
            </w:r>
            <w:r>
              <w:rPr>
                <w:rFonts w:hint="eastAsia" w:ascii="仿宋" w:hAnsi="仿宋" w:eastAsia="仿宋"/>
                <w:b/>
                <w:bCs w:val="0"/>
                <w:szCs w:val="21"/>
                <w:lang w:val="en-US" w:eastAsia="zh-CN"/>
              </w:rPr>
              <w:t>10</w:t>
            </w:r>
            <w:r>
              <w:rPr>
                <w:rFonts w:hint="default" w:ascii="仿宋" w:hAnsi="仿宋" w:eastAsia="仿宋"/>
                <w:b/>
                <w:bCs w:val="0"/>
                <w:szCs w:val="21"/>
                <w:lang w:val="en-US"/>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A份额超额管理费计提基准为</w:t>
            </w:r>
            <w:r>
              <w:rPr>
                <w:rFonts w:hint="eastAsia" w:ascii="仿宋" w:hAnsi="仿宋" w:eastAsia="仿宋"/>
                <w:b/>
                <w:bCs w:val="0"/>
                <w:szCs w:val="21"/>
                <w:lang w:val="en-US" w:eastAsia="zh-CN"/>
              </w:rPr>
              <w:t>2.50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Z份额</w:t>
            </w:r>
            <w:r>
              <w:rPr>
                <w:rFonts w:hint="eastAsia" w:ascii="仿宋" w:hAnsi="仿宋" w:eastAsia="仿宋"/>
                <w:b/>
                <w:bCs w:val="0"/>
                <w:szCs w:val="21"/>
              </w:rPr>
              <w:t>超额管理费计提基准为</w:t>
            </w:r>
            <w:r>
              <w:rPr>
                <w:rFonts w:hint="eastAsia" w:ascii="仿宋" w:hAnsi="仿宋" w:eastAsia="仿宋"/>
                <w:b/>
                <w:bCs w:val="0"/>
                <w:szCs w:val="21"/>
                <w:lang w:val="en-US" w:eastAsia="zh-CN"/>
              </w:rPr>
              <w:t>2.45</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w:t>
            </w:r>
            <w:r>
              <w:rPr>
                <w:rFonts w:hint="eastAsia" w:ascii="仿宋" w:hAnsi="仿宋" w:eastAsia="仿宋" w:cs="Cambria"/>
                <w:b/>
                <w:szCs w:val="21"/>
                <w:lang w:val="en-US" w:eastAsia="zh-CN"/>
              </w:rPr>
              <w:t>9</w:t>
            </w:r>
            <w:r>
              <w:rPr>
                <w:rFonts w:hint="eastAsia" w:ascii="仿宋" w:hAnsi="仿宋" w:eastAsia="仿宋" w:cs="Cambria"/>
                <w:b/>
                <w:szCs w:val="21"/>
              </w:rPr>
              <w:t>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仿宋"/>
          <w:color w:val="000000"/>
          <w:kern w:val="0"/>
          <w:sz w:val="24"/>
        </w:rPr>
      </w:pPr>
      <w:r>
        <w:rPr>
          <w:rFonts w:hint="eastAsia" w:ascii="仿宋" w:hAnsi="仿宋" w:eastAsia="仿宋" w:cs="仿宋"/>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lang w:val="en-US" w:eastAsia="zh-CN"/>
        </w:rPr>
        <w:t>其中</w:t>
      </w: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eastAsia="zh-CN"/>
        </w:rPr>
        <w:t>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w:t>
      </w:r>
      <w:r>
        <w:rPr>
          <w:rFonts w:hint="eastAsia" w:ascii="仿宋" w:hAnsi="仿宋" w:eastAsia="仿宋" w:cs="宋体"/>
          <w:color w:val="000000"/>
          <w:kern w:val="0"/>
          <w:sz w:val="24"/>
        </w:rPr>
        <w:t>等固定收益类资产</w:t>
      </w:r>
      <w:r>
        <w:rPr>
          <w:rFonts w:hint="eastAsia" w:ascii="仿宋" w:hAnsi="仿宋" w:eastAsia="仿宋" w:cs="仿宋"/>
        </w:rPr>
        <w:t>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w:t>
      </w:r>
      <w:bookmarkStart w:id="4" w:name="OLE_LINK1"/>
      <w:r>
        <w:rPr>
          <w:rFonts w:hint="eastAsia" w:ascii="仿宋" w:hAnsi="仿宋" w:eastAsia="仿宋" w:cs="仿宋"/>
        </w:rPr>
        <w:t>管理人和托管人可以在法律法规允许的范围内免除赔偿责任。</w:t>
      </w:r>
      <w:bookmarkEnd w:id="4"/>
      <w:r>
        <w:rPr>
          <w:rFonts w:hint="eastAsia" w:ascii="仿宋" w:hAnsi="仿宋" w:eastAsia="仿宋" w:cs="仿宋"/>
        </w:rPr>
        <w:t>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color w:val="auto"/>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eastAsia="黑体" w:cs="Times New Roman"/>
          <w:b/>
          <w:color w:val="auto"/>
        </w:rPr>
        <w:t xml:space="preserve">。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4.投资于存款类资产的可能风险：本产品拟投资的存款类资产在极端情况下可能面临被拒绝支取、因提前支取而被收取罚息等费用的风险，从而影响投资者收益，甚至使本产品本金遭受损失。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5.</w:t>
      </w:r>
      <w:r>
        <w:rPr>
          <w:rFonts w:hint="eastAsia" w:ascii="Times New Roman" w:eastAsia="黑体" w:cs="Times New Roman"/>
          <w:b/>
          <w:color w:val="auto"/>
        </w:rPr>
        <w:t>投资于结构性存款的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 xml:space="preserve"> 市场风险。结构性存款挂钩的境内外债券、股票、利率、汇率、指数等标的受相关国家或地区的金融市场和经济趋势的影响，收益存在不确定性。</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信用风险。结构性存款</w:t>
      </w:r>
      <w:r>
        <w:rPr>
          <w:rFonts w:hint="eastAsia" w:ascii="Times New Roman" w:eastAsia="黑体" w:cs="Times New Roman"/>
          <w:b/>
          <w:color w:val="auto"/>
          <w:lang w:val="en-US" w:eastAsia="zh-CN"/>
        </w:rPr>
        <w:t>可能</w:t>
      </w:r>
      <w:r>
        <w:rPr>
          <w:rFonts w:hint="eastAsia" w:ascii="Times New Roman" w:eastAsia="黑体" w:cs="Times New Roman"/>
          <w:b/>
          <w:color w:val="auto"/>
        </w:rPr>
        <w:t>面临交易对手银行无力偿付或未履行该结构性存款相关义务（含支付义务）的风险</w:t>
      </w:r>
      <w:r>
        <w:rPr>
          <w:rFonts w:hint="eastAsia" w:ascii="Times New Roman" w:eastAsia="黑体" w:cs="Times New Roman"/>
          <w:b/>
          <w:color w:val="auto"/>
          <w:lang w:eastAsia="zh-CN"/>
        </w:rPr>
        <w:t>，</w:t>
      </w:r>
      <w:r>
        <w:rPr>
          <w:rFonts w:hint="eastAsia" w:ascii="Times New Roman" w:eastAsia="黑体" w:cs="Times New Roman"/>
          <w:b/>
          <w:color w:val="auto"/>
        </w:rPr>
        <w:t>同时结构性存款挂钩的标的如果出现信用违约，结构性存款的本金与收益也会受到影响，在最不利的情况下可能损失全部本金。</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3</w:t>
      </w:r>
      <w:r>
        <w:rPr>
          <w:rFonts w:hint="eastAsia" w:ascii="Times New Roman" w:eastAsia="黑体" w:cs="Times New Roman"/>
          <w:b/>
          <w:color w:val="auto"/>
          <w:lang w:eastAsia="zh-CN"/>
        </w:rPr>
        <w:t>）</w:t>
      </w:r>
      <w:r>
        <w:rPr>
          <w:rFonts w:hint="eastAsia" w:ascii="Times New Roman" w:eastAsia="黑体" w:cs="Times New Roman"/>
          <w:b/>
          <w:color w:val="auto"/>
        </w:rPr>
        <w:t>利率风险。结构性存款如挂钩特定债券或债券指数，可能因相关利率变动而导致产品收益发生变化。</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4</w:t>
      </w:r>
      <w:r>
        <w:rPr>
          <w:rFonts w:hint="eastAsia" w:ascii="Times New Roman" w:eastAsia="黑体" w:cs="Times New Roman"/>
          <w:b/>
          <w:color w:val="auto"/>
          <w:lang w:eastAsia="zh-CN"/>
        </w:rPr>
        <w:t>）</w:t>
      </w:r>
      <w:r>
        <w:rPr>
          <w:rFonts w:hint="eastAsia" w:ascii="Times New Roman" w:eastAsia="黑体" w:cs="Times New Roman"/>
          <w:b/>
          <w:color w:val="auto"/>
        </w:rPr>
        <w:t>汇率风险。结构性存款如挂钩境外证券资产，可能面临以非人民币计价的各类资产受汇率波动影响而引起人民币估值下的理财产品资产净值波动的风险。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5</w:t>
      </w:r>
      <w:r>
        <w:rPr>
          <w:rFonts w:hint="eastAsia" w:ascii="Times New Roman" w:eastAsia="黑体" w:cs="Times New Roman"/>
          <w:b/>
          <w:color w:val="auto"/>
          <w:lang w:eastAsia="zh-CN"/>
        </w:rPr>
        <w:t>）</w:t>
      </w:r>
      <w:r>
        <w:rPr>
          <w:rFonts w:hint="eastAsia" w:ascii="Times New Roman" w:eastAsia="黑体" w:cs="Times New Roman"/>
          <w:b/>
          <w:color w:val="auto"/>
        </w:rPr>
        <w:t>衍生品投资风险。结构性存款所嵌入的金融衍生工具，可能存在</w:t>
      </w:r>
      <w:r>
        <w:rPr>
          <w:rFonts w:hint="eastAsia" w:ascii="Times New Roman" w:eastAsia="黑体" w:cs="Times New Roman"/>
          <w:b/>
          <w:color w:val="auto"/>
          <w:lang w:val="en-US" w:eastAsia="zh-CN"/>
        </w:rPr>
        <w:t>杠杆</w:t>
      </w:r>
      <w:r>
        <w:rPr>
          <w:rFonts w:hint="eastAsia" w:ascii="Times New Roman" w:eastAsia="黑体" w:cs="Times New Roman"/>
          <w:b/>
          <w:color w:val="auto"/>
        </w:rPr>
        <w:t>风险、操作风险、交易对手的信用风险、衍生品价格与其基础品种的相关度变化带来的风险等。</w:t>
      </w:r>
      <w:r>
        <w:rPr>
          <w:rFonts w:hint="eastAsia" w:ascii="Times New Roman" w:eastAsia="黑体" w:cs="Times New Roman"/>
          <w:b/>
          <w:color w:val="auto"/>
          <w:lang w:val="en-US" w:eastAsia="zh-CN"/>
        </w:rPr>
        <w:t>以上风险事项若发现，可能</w:t>
      </w:r>
      <w:r>
        <w:rPr>
          <w:rFonts w:hint="eastAsia" w:ascii="Times New Roman" w:eastAsia="黑体" w:cs="Times New Roman"/>
          <w:b/>
          <w:color w:val="auto"/>
        </w:rPr>
        <w:t>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6.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简仿宋">
    <w:panose1 w:val="00000000000000000000"/>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C3847A"/>
    <w:multiLevelType w:val="singleLevel"/>
    <w:tmpl w:val="64C3847A"/>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B5486"/>
    <w:rsid w:val="00FC0983"/>
    <w:rsid w:val="00FC21F8"/>
    <w:rsid w:val="00FC6689"/>
    <w:rsid w:val="00FC72F2"/>
    <w:rsid w:val="00FF5911"/>
    <w:rsid w:val="01214A07"/>
    <w:rsid w:val="012C3936"/>
    <w:rsid w:val="015E11C2"/>
    <w:rsid w:val="01FB5C4F"/>
    <w:rsid w:val="020F48EF"/>
    <w:rsid w:val="02417756"/>
    <w:rsid w:val="02E40AD0"/>
    <w:rsid w:val="02F3137F"/>
    <w:rsid w:val="033A4D39"/>
    <w:rsid w:val="034644C7"/>
    <w:rsid w:val="04196F12"/>
    <w:rsid w:val="04435A9E"/>
    <w:rsid w:val="04950991"/>
    <w:rsid w:val="054B7EFA"/>
    <w:rsid w:val="057678B7"/>
    <w:rsid w:val="05831998"/>
    <w:rsid w:val="05A87374"/>
    <w:rsid w:val="060A409E"/>
    <w:rsid w:val="0610015A"/>
    <w:rsid w:val="06331B3C"/>
    <w:rsid w:val="066C6455"/>
    <w:rsid w:val="06930C07"/>
    <w:rsid w:val="06CE1059"/>
    <w:rsid w:val="072859C3"/>
    <w:rsid w:val="07853686"/>
    <w:rsid w:val="079A3378"/>
    <w:rsid w:val="07B45D81"/>
    <w:rsid w:val="07C26F1E"/>
    <w:rsid w:val="07C52B3D"/>
    <w:rsid w:val="07D6576F"/>
    <w:rsid w:val="07F1682B"/>
    <w:rsid w:val="08064FC2"/>
    <w:rsid w:val="080D6F41"/>
    <w:rsid w:val="08A87A0E"/>
    <w:rsid w:val="08D300AE"/>
    <w:rsid w:val="08D66671"/>
    <w:rsid w:val="09277EEB"/>
    <w:rsid w:val="096506FA"/>
    <w:rsid w:val="096B558A"/>
    <w:rsid w:val="09B80512"/>
    <w:rsid w:val="09EB6AB3"/>
    <w:rsid w:val="0A01440A"/>
    <w:rsid w:val="0A513B0D"/>
    <w:rsid w:val="0A5478A3"/>
    <w:rsid w:val="0A7B7656"/>
    <w:rsid w:val="0A983E05"/>
    <w:rsid w:val="0D3600BA"/>
    <w:rsid w:val="0D6C5F44"/>
    <w:rsid w:val="0DD32259"/>
    <w:rsid w:val="0E73282A"/>
    <w:rsid w:val="0EE15034"/>
    <w:rsid w:val="0EF43DB9"/>
    <w:rsid w:val="0F850895"/>
    <w:rsid w:val="0FD932B9"/>
    <w:rsid w:val="102F133E"/>
    <w:rsid w:val="10510955"/>
    <w:rsid w:val="10987645"/>
    <w:rsid w:val="10B272CB"/>
    <w:rsid w:val="10ED247D"/>
    <w:rsid w:val="10FB6C98"/>
    <w:rsid w:val="110764BF"/>
    <w:rsid w:val="113A6DA1"/>
    <w:rsid w:val="113D243D"/>
    <w:rsid w:val="114758B1"/>
    <w:rsid w:val="115646CB"/>
    <w:rsid w:val="116A55A1"/>
    <w:rsid w:val="11836CC4"/>
    <w:rsid w:val="11921C3C"/>
    <w:rsid w:val="119A5652"/>
    <w:rsid w:val="11BA7B51"/>
    <w:rsid w:val="11BC3D26"/>
    <w:rsid w:val="11E43BE6"/>
    <w:rsid w:val="120F1E2C"/>
    <w:rsid w:val="12540566"/>
    <w:rsid w:val="12946645"/>
    <w:rsid w:val="12D3200B"/>
    <w:rsid w:val="13495D69"/>
    <w:rsid w:val="13B7767A"/>
    <w:rsid w:val="13B9670D"/>
    <w:rsid w:val="13DE4767"/>
    <w:rsid w:val="13EB7FFD"/>
    <w:rsid w:val="13FD4DC5"/>
    <w:rsid w:val="142C012A"/>
    <w:rsid w:val="14436D9F"/>
    <w:rsid w:val="14484DCB"/>
    <w:rsid w:val="1474429F"/>
    <w:rsid w:val="14852776"/>
    <w:rsid w:val="14AD58F7"/>
    <w:rsid w:val="15140BCE"/>
    <w:rsid w:val="1584793E"/>
    <w:rsid w:val="15874EAA"/>
    <w:rsid w:val="15C47445"/>
    <w:rsid w:val="15DF45C9"/>
    <w:rsid w:val="15E41B70"/>
    <w:rsid w:val="16440A35"/>
    <w:rsid w:val="16577530"/>
    <w:rsid w:val="167255CF"/>
    <w:rsid w:val="16840173"/>
    <w:rsid w:val="16FB6F37"/>
    <w:rsid w:val="173575D5"/>
    <w:rsid w:val="17825A05"/>
    <w:rsid w:val="17A26163"/>
    <w:rsid w:val="17D31FDC"/>
    <w:rsid w:val="17D76C2B"/>
    <w:rsid w:val="17F8769D"/>
    <w:rsid w:val="18041AB4"/>
    <w:rsid w:val="1812072F"/>
    <w:rsid w:val="19055552"/>
    <w:rsid w:val="190F268E"/>
    <w:rsid w:val="1912281D"/>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AF2574"/>
    <w:rsid w:val="1CE252F3"/>
    <w:rsid w:val="1D0662A6"/>
    <w:rsid w:val="1D104FDC"/>
    <w:rsid w:val="1D117096"/>
    <w:rsid w:val="1DE516B8"/>
    <w:rsid w:val="1E047274"/>
    <w:rsid w:val="1E082A0A"/>
    <w:rsid w:val="1E2F7887"/>
    <w:rsid w:val="1E3E0FCF"/>
    <w:rsid w:val="1E433C85"/>
    <w:rsid w:val="1ED877DF"/>
    <w:rsid w:val="1EDC23B0"/>
    <w:rsid w:val="1F0B3DFE"/>
    <w:rsid w:val="1F3F7DEB"/>
    <w:rsid w:val="1F5522A7"/>
    <w:rsid w:val="1FD45CE1"/>
    <w:rsid w:val="1FF41399"/>
    <w:rsid w:val="203641F1"/>
    <w:rsid w:val="21433609"/>
    <w:rsid w:val="214D162F"/>
    <w:rsid w:val="21DE0D16"/>
    <w:rsid w:val="21F47A91"/>
    <w:rsid w:val="22171129"/>
    <w:rsid w:val="222D0D62"/>
    <w:rsid w:val="22347560"/>
    <w:rsid w:val="22551E62"/>
    <w:rsid w:val="227D729C"/>
    <w:rsid w:val="227F2FCC"/>
    <w:rsid w:val="22E24550"/>
    <w:rsid w:val="22EE4D3D"/>
    <w:rsid w:val="2350568B"/>
    <w:rsid w:val="237F35E5"/>
    <w:rsid w:val="23A50D24"/>
    <w:rsid w:val="23E44373"/>
    <w:rsid w:val="242806AA"/>
    <w:rsid w:val="24392A65"/>
    <w:rsid w:val="2467066D"/>
    <w:rsid w:val="24E91956"/>
    <w:rsid w:val="252E26F1"/>
    <w:rsid w:val="258E2A81"/>
    <w:rsid w:val="25C3267A"/>
    <w:rsid w:val="25D568B4"/>
    <w:rsid w:val="25D87525"/>
    <w:rsid w:val="25F33B9E"/>
    <w:rsid w:val="260C731E"/>
    <w:rsid w:val="260E5AEA"/>
    <w:rsid w:val="26103F21"/>
    <w:rsid w:val="26927AE5"/>
    <w:rsid w:val="27545196"/>
    <w:rsid w:val="276D7170"/>
    <w:rsid w:val="27914154"/>
    <w:rsid w:val="27C604DA"/>
    <w:rsid w:val="27EA63D1"/>
    <w:rsid w:val="28165A46"/>
    <w:rsid w:val="28325CD2"/>
    <w:rsid w:val="287A5D0E"/>
    <w:rsid w:val="28B05EE9"/>
    <w:rsid w:val="28D30187"/>
    <w:rsid w:val="28D53151"/>
    <w:rsid w:val="28E571A8"/>
    <w:rsid w:val="291933D2"/>
    <w:rsid w:val="29216629"/>
    <w:rsid w:val="294C4E21"/>
    <w:rsid w:val="296D4B02"/>
    <w:rsid w:val="29D46607"/>
    <w:rsid w:val="2A074A2C"/>
    <w:rsid w:val="2A103412"/>
    <w:rsid w:val="2A1E1418"/>
    <w:rsid w:val="2A7222EA"/>
    <w:rsid w:val="2A770C99"/>
    <w:rsid w:val="2AB65B1B"/>
    <w:rsid w:val="2AF67748"/>
    <w:rsid w:val="2BBB2833"/>
    <w:rsid w:val="2BC42334"/>
    <w:rsid w:val="2C1011CD"/>
    <w:rsid w:val="2C40390A"/>
    <w:rsid w:val="2C4C703B"/>
    <w:rsid w:val="2CE37AF2"/>
    <w:rsid w:val="2D241337"/>
    <w:rsid w:val="2D56172B"/>
    <w:rsid w:val="2D753D30"/>
    <w:rsid w:val="2DB6436A"/>
    <w:rsid w:val="2DC02129"/>
    <w:rsid w:val="2DD51336"/>
    <w:rsid w:val="2E010168"/>
    <w:rsid w:val="2E270AAC"/>
    <w:rsid w:val="2E6A7D66"/>
    <w:rsid w:val="2EA605F1"/>
    <w:rsid w:val="2EA972CC"/>
    <w:rsid w:val="2EC31B75"/>
    <w:rsid w:val="2FE72027"/>
    <w:rsid w:val="306A1371"/>
    <w:rsid w:val="308A7467"/>
    <w:rsid w:val="3127549C"/>
    <w:rsid w:val="31533557"/>
    <w:rsid w:val="31B41A9A"/>
    <w:rsid w:val="31C74937"/>
    <w:rsid w:val="31E66CE2"/>
    <w:rsid w:val="31F02E84"/>
    <w:rsid w:val="31F226E0"/>
    <w:rsid w:val="32062205"/>
    <w:rsid w:val="322068C9"/>
    <w:rsid w:val="32403612"/>
    <w:rsid w:val="326170B4"/>
    <w:rsid w:val="328F3B54"/>
    <w:rsid w:val="329A11A0"/>
    <w:rsid w:val="32FF7EB7"/>
    <w:rsid w:val="33424079"/>
    <w:rsid w:val="33BA6589"/>
    <w:rsid w:val="34126396"/>
    <w:rsid w:val="34253553"/>
    <w:rsid w:val="345E593B"/>
    <w:rsid w:val="34605A84"/>
    <w:rsid w:val="346C230B"/>
    <w:rsid w:val="35034F52"/>
    <w:rsid w:val="352C602C"/>
    <w:rsid w:val="358C64BE"/>
    <w:rsid w:val="35B16527"/>
    <w:rsid w:val="36744016"/>
    <w:rsid w:val="36767569"/>
    <w:rsid w:val="36B76A85"/>
    <w:rsid w:val="36B82ADE"/>
    <w:rsid w:val="36D84DBF"/>
    <w:rsid w:val="371F768B"/>
    <w:rsid w:val="376879F0"/>
    <w:rsid w:val="37761BE3"/>
    <w:rsid w:val="378F057D"/>
    <w:rsid w:val="37C44EDB"/>
    <w:rsid w:val="37EC4B4C"/>
    <w:rsid w:val="387B665C"/>
    <w:rsid w:val="390271C9"/>
    <w:rsid w:val="39162D46"/>
    <w:rsid w:val="39690814"/>
    <w:rsid w:val="39B76C90"/>
    <w:rsid w:val="39C37A55"/>
    <w:rsid w:val="39C53B44"/>
    <w:rsid w:val="39EF00EC"/>
    <w:rsid w:val="39EF39C3"/>
    <w:rsid w:val="3A021304"/>
    <w:rsid w:val="3A23092B"/>
    <w:rsid w:val="3A35598B"/>
    <w:rsid w:val="3A595F4B"/>
    <w:rsid w:val="3A7E1342"/>
    <w:rsid w:val="3A9D0C11"/>
    <w:rsid w:val="3ADE61A4"/>
    <w:rsid w:val="3AFC215C"/>
    <w:rsid w:val="3B4C73CF"/>
    <w:rsid w:val="3BC55932"/>
    <w:rsid w:val="3C2D51C9"/>
    <w:rsid w:val="3C7826C2"/>
    <w:rsid w:val="3C8F2051"/>
    <w:rsid w:val="3CD87A38"/>
    <w:rsid w:val="3D4B33F8"/>
    <w:rsid w:val="3D83215E"/>
    <w:rsid w:val="3DE80082"/>
    <w:rsid w:val="3DF76443"/>
    <w:rsid w:val="3DFF3A1A"/>
    <w:rsid w:val="3E0E185F"/>
    <w:rsid w:val="3E36391C"/>
    <w:rsid w:val="3EA946F7"/>
    <w:rsid w:val="3ED615CF"/>
    <w:rsid w:val="3ED853B4"/>
    <w:rsid w:val="3EEC674A"/>
    <w:rsid w:val="3F0C1537"/>
    <w:rsid w:val="3F8907F6"/>
    <w:rsid w:val="3F8B7D7F"/>
    <w:rsid w:val="3FDA33E1"/>
    <w:rsid w:val="3FF20B0E"/>
    <w:rsid w:val="40670EF7"/>
    <w:rsid w:val="40682937"/>
    <w:rsid w:val="40974D22"/>
    <w:rsid w:val="40AB1A12"/>
    <w:rsid w:val="41012626"/>
    <w:rsid w:val="415249F8"/>
    <w:rsid w:val="416A59DD"/>
    <w:rsid w:val="417575F2"/>
    <w:rsid w:val="41845886"/>
    <w:rsid w:val="4191369F"/>
    <w:rsid w:val="41BD7655"/>
    <w:rsid w:val="41CC7DB7"/>
    <w:rsid w:val="42C36006"/>
    <w:rsid w:val="42CD30A6"/>
    <w:rsid w:val="42F60353"/>
    <w:rsid w:val="43356FA2"/>
    <w:rsid w:val="438556A7"/>
    <w:rsid w:val="43A6228A"/>
    <w:rsid w:val="449B7167"/>
    <w:rsid w:val="44A95D1A"/>
    <w:rsid w:val="44CC2C77"/>
    <w:rsid w:val="4524487F"/>
    <w:rsid w:val="45CC078F"/>
    <w:rsid w:val="45CE08BC"/>
    <w:rsid w:val="464D1624"/>
    <w:rsid w:val="466B6F06"/>
    <w:rsid w:val="46860155"/>
    <w:rsid w:val="473C7E58"/>
    <w:rsid w:val="476049FD"/>
    <w:rsid w:val="47802A85"/>
    <w:rsid w:val="487C60FD"/>
    <w:rsid w:val="489E098C"/>
    <w:rsid w:val="48B61CC6"/>
    <w:rsid w:val="48DB6D4B"/>
    <w:rsid w:val="48E87129"/>
    <w:rsid w:val="492A5B50"/>
    <w:rsid w:val="49321AAF"/>
    <w:rsid w:val="493A681C"/>
    <w:rsid w:val="493C2E02"/>
    <w:rsid w:val="494C0FE7"/>
    <w:rsid w:val="494D579F"/>
    <w:rsid w:val="498C1FB1"/>
    <w:rsid w:val="4A255416"/>
    <w:rsid w:val="4A295537"/>
    <w:rsid w:val="4A865774"/>
    <w:rsid w:val="4A937164"/>
    <w:rsid w:val="4A9750EA"/>
    <w:rsid w:val="4AA40703"/>
    <w:rsid w:val="4AB52EDF"/>
    <w:rsid w:val="4AE5101D"/>
    <w:rsid w:val="4AF36DF1"/>
    <w:rsid w:val="4B1D70C8"/>
    <w:rsid w:val="4B690413"/>
    <w:rsid w:val="4B835D3A"/>
    <w:rsid w:val="4BB86F47"/>
    <w:rsid w:val="4BF60566"/>
    <w:rsid w:val="4C263A21"/>
    <w:rsid w:val="4C973694"/>
    <w:rsid w:val="4CCE54E6"/>
    <w:rsid w:val="4D5D4C67"/>
    <w:rsid w:val="4D9A2B3C"/>
    <w:rsid w:val="4E4D03ED"/>
    <w:rsid w:val="4EDD4EDE"/>
    <w:rsid w:val="4EE45C33"/>
    <w:rsid w:val="4EED4C04"/>
    <w:rsid w:val="4F0E5925"/>
    <w:rsid w:val="4F323CFA"/>
    <w:rsid w:val="4FC908A2"/>
    <w:rsid w:val="50081263"/>
    <w:rsid w:val="500C5A60"/>
    <w:rsid w:val="50461117"/>
    <w:rsid w:val="509A5F14"/>
    <w:rsid w:val="50FC206C"/>
    <w:rsid w:val="512E02BD"/>
    <w:rsid w:val="51820084"/>
    <w:rsid w:val="51844BB9"/>
    <w:rsid w:val="51954E8A"/>
    <w:rsid w:val="519B5496"/>
    <w:rsid w:val="520D33B9"/>
    <w:rsid w:val="52667895"/>
    <w:rsid w:val="52B20439"/>
    <w:rsid w:val="52B95D52"/>
    <w:rsid w:val="5341023D"/>
    <w:rsid w:val="53735224"/>
    <w:rsid w:val="537D24F6"/>
    <w:rsid w:val="53D361FA"/>
    <w:rsid w:val="53D529E0"/>
    <w:rsid w:val="543C05E0"/>
    <w:rsid w:val="54AC5A70"/>
    <w:rsid w:val="54B9651A"/>
    <w:rsid w:val="54F9389F"/>
    <w:rsid w:val="55222910"/>
    <w:rsid w:val="55643FAD"/>
    <w:rsid w:val="559032FC"/>
    <w:rsid w:val="55E27377"/>
    <w:rsid w:val="55EF2193"/>
    <w:rsid w:val="560165A7"/>
    <w:rsid w:val="560B3FD6"/>
    <w:rsid w:val="56195379"/>
    <w:rsid w:val="563121A3"/>
    <w:rsid w:val="563A5292"/>
    <w:rsid w:val="5645736F"/>
    <w:rsid w:val="5646747A"/>
    <w:rsid w:val="565C1C2A"/>
    <w:rsid w:val="567B0F8C"/>
    <w:rsid w:val="56D476A1"/>
    <w:rsid w:val="574328BF"/>
    <w:rsid w:val="57996E75"/>
    <w:rsid w:val="57AE7F74"/>
    <w:rsid w:val="57E767C7"/>
    <w:rsid w:val="584667E1"/>
    <w:rsid w:val="5884596F"/>
    <w:rsid w:val="58E1781D"/>
    <w:rsid w:val="590C5C0A"/>
    <w:rsid w:val="592762ED"/>
    <w:rsid w:val="598336AE"/>
    <w:rsid w:val="599B3F0F"/>
    <w:rsid w:val="59A2047A"/>
    <w:rsid w:val="5A41650D"/>
    <w:rsid w:val="5A4F6192"/>
    <w:rsid w:val="5A7852B1"/>
    <w:rsid w:val="5A9A631A"/>
    <w:rsid w:val="5AA97C90"/>
    <w:rsid w:val="5AE4319D"/>
    <w:rsid w:val="5B2B6EDA"/>
    <w:rsid w:val="5C4D667C"/>
    <w:rsid w:val="5C7E5C8C"/>
    <w:rsid w:val="5CE90207"/>
    <w:rsid w:val="5CEA4265"/>
    <w:rsid w:val="5DAA0B36"/>
    <w:rsid w:val="5DCD60BC"/>
    <w:rsid w:val="5E3B759B"/>
    <w:rsid w:val="5E501568"/>
    <w:rsid w:val="5E50611E"/>
    <w:rsid w:val="5E814B01"/>
    <w:rsid w:val="5E8F7678"/>
    <w:rsid w:val="5EB138AE"/>
    <w:rsid w:val="5EB53035"/>
    <w:rsid w:val="5ED23CC7"/>
    <w:rsid w:val="5EE6353D"/>
    <w:rsid w:val="5F0310B7"/>
    <w:rsid w:val="5F0C287E"/>
    <w:rsid w:val="5F1655AE"/>
    <w:rsid w:val="5F5952B0"/>
    <w:rsid w:val="5F7158EA"/>
    <w:rsid w:val="602E28A2"/>
    <w:rsid w:val="60C0423D"/>
    <w:rsid w:val="60E7450D"/>
    <w:rsid w:val="613528A2"/>
    <w:rsid w:val="6166406C"/>
    <w:rsid w:val="618F3AF2"/>
    <w:rsid w:val="61DA68DC"/>
    <w:rsid w:val="61FC1FED"/>
    <w:rsid w:val="62013CA9"/>
    <w:rsid w:val="622708C6"/>
    <w:rsid w:val="62460A47"/>
    <w:rsid w:val="625D7359"/>
    <w:rsid w:val="63554C8E"/>
    <w:rsid w:val="636A7CE4"/>
    <w:rsid w:val="63743F6D"/>
    <w:rsid w:val="63890B77"/>
    <w:rsid w:val="63970830"/>
    <w:rsid w:val="639D1EC4"/>
    <w:rsid w:val="63A13700"/>
    <w:rsid w:val="63D100AF"/>
    <w:rsid w:val="63DA03E2"/>
    <w:rsid w:val="641246B5"/>
    <w:rsid w:val="64541B77"/>
    <w:rsid w:val="64667487"/>
    <w:rsid w:val="64E9282A"/>
    <w:rsid w:val="65C63D9B"/>
    <w:rsid w:val="66103AAA"/>
    <w:rsid w:val="667640C4"/>
    <w:rsid w:val="66A87913"/>
    <w:rsid w:val="66DC24A5"/>
    <w:rsid w:val="66DF3B52"/>
    <w:rsid w:val="672963E0"/>
    <w:rsid w:val="674B44F2"/>
    <w:rsid w:val="675A4556"/>
    <w:rsid w:val="675C47D1"/>
    <w:rsid w:val="675E5725"/>
    <w:rsid w:val="679271B5"/>
    <w:rsid w:val="67AE1BA6"/>
    <w:rsid w:val="68191A65"/>
    <w:rsid w:val="68AA0C0F"/>
    <w:rsid w:val="68C03D88"/>
    <w:rsid w:val="68F60924"/>
    <w:rsid w:val="69341136"/>
    <w:rsid w:val="69572330"/>
    <w:rsid w:val="698C4C9E"/>
    <w:rsid w:val="69E719A0"/>
    <w:rsid w:val="6A5B0FA5"/>
    <w:rsid w:val="6A983C35"/>
    <w:rsid w:val="6AAB569D"/>
    <w:rsid w:val="6AAC3F8C"/>
    <w:rsid w:val="6B4C2F45"/>
    <w:rsid w:val="6B62243D"/>
    <w:rsid w:val="6B966680"/>
    <w:rsid w:val="6BDA557E"/>
    <w:rsid w:val="6BE16560"/>
    <w:rsid w:val="6BF42E72"/>
    <w:rsid w:val="6C0576C7"/>
    <w:rsid w:val="6C161AD0"/>
    <w:rsid w:val="6C5939B8"/>
    <w:rsid w:val="6C8E0D9E"/>
    <w:rsid w:val="6CD50E4E"/>
    <w:rsid w:val="6D157AE9"/>
    <w:rsid w:val="6D182D86"/>
    <w:rsid w:val="6D2C2EC2"/>
    <w:rsid w:val="6D2E7D50"/>
    <w:rsid w:val="6D9938C6"/>
    <w:rsid w:val="6DD90E21"/>
    <w:rsid w:val="6DE0162F"/>
    <w:rsid w:val="6DFA3383"/>
    <w:rsid w:val="6E062488"/>
    <w:rsid w:val="6E1A49C5"/>
    <w:rsid w:val="6E254EA7"/>
    <w:rsid w:val="6E4B2AEB"/>
    <w:rsid w:val="6EBB30B7"/>
    <w:rsid w:val="6F191C5C"/>
    <w:rsid w:val="6F44586C"/>
    <w:rsid w:val="6F786BDA"/>
    <w:rsid w:val="6FBA407E"/>
    <w:rsid w:val="70693AE8"/>
    <w:rsid w:val="70851CBD"/>
    <w:rsid w:val="709573C6"/>
    <w:rsid w:val="709E2354"/>
    <w:rsid w:val="70E70772"/>
    <w:rsid w:val="71900429"/>
    <w:rsid w:val="719027A5"/>
    <w:rsid w:val="71C9496E"/>
    <w:rsid w:val="71EE76F7"/>
    <w:rsid w:val="725F0CAE"/>
    <w:rsid w:val="72981180"/>
    <w:rsid w:val="729C09F9"/>
    <w:rsid w:val="72D16315"/>
    <w:rsid w:val="72FF2F3D"/>
    <w:rsid w:val="73001A15"/>
    <w:rsid w:val="73155C46"/>
    <w:rsid w:val="733215F3"/>
    <w:rsid w:val="73432638"/>
    <w:rsid w:val="7366194C"/>
    <w:rsid w:val="73A4438D"/>
    <w:rsid w:val="74062834"/>
    <w:rsid w:val="740D552E"/>
    <w:rsid w:val="74136087"/>
    <w:rsid w:val="743B625A"/>
    <w:rsid w:val="7443680B"/>
    <w:rsid w:val="745500EB"/>
    <w:rsid w:val="74A17F65"/>
    <w:rsid w:val="74A805D6"/>
    <w:rsid w:val="74A870B6"/>
    <w:rsid w:val="74EC6D1E"/>
    <w:rsid w:val="74FA0674"/>
    <w:rsid w:val="74FC122E"/>
    <w:rsid w:val="75385547"/>
    <w:rsid w:val="754F1383"/>
    <w:rsid w:val="757F022C"/>
    <w:rsid w:val="75DC198B"/>
    <w:rsid w:val="75E25A77"/>
    <w:rsid w:val="762A07F6"/>
    <w:rsid w:val="764A2B58"/>
    <w:rsid w:val="76661B90"/>
    <w:rsid w:val="76DA2198"/>
    <w:rsid w:val="77307E87"/>
    <w:rsid w:val="77731DCC"/>
    <w:rsid w:val="77B301A9"/>
    <w:rsid w:val="77BE7190"/>
    <w:rsid w:val="77D83AB0"/>
    <w:rsid w:val="77ED043F"/>
    <w:rsid w:val="77F43C8B"/>
    <w:rsid w:val="77FA47E4"/>
    <w:rsid w:val="78683E57"/>
    <w:rsid w:val="788B1B55"/>
    <w:rsid w:val="78F759E0"/>
    <w:rsid w:val="78FB1E09"/>
    <w:rsid w:val="79802062"/>
    <w:rsid w:val="79BB4445"/>
    <w:rsid w:val="79CB33E9"/>
    <w:rsid w:val="79CC1086"/>
    <w:rsid w:val="79EF28EF"/>
    <w:rsid w:val="7A0E66B3"/>
    <w:rsid w:val="7A300713"/>
    <w:rsid w:val="7A3B7268"/>
    <w:rsid w:val="7AB968E7"/>
    <w:rsid w:val="7AC65BFC"/>
    <w:rsid w:val="7B0735D8"/>
    <w:rsid w:val="7B0F7EA2"/>
    <w:rsid w:val="7B184807"/>
    <w:rsid w:val="7B2F3DDD"/>
    <w:rsid w:val="7B4B41CD"/>
    <w:rsid w:val="7B5A24C6"/>
    <w:rsid w:val="7B6F7E14"/>
    <w:rsid w:val="7B94578E"/>
    <w:rsid w:val="7C062D05"/>
    <w:rsid w:val="7C5E4A19"/>
    <w:rsid w:val="7CDB4C9F"/>
    <w:rsid w:val="7D016D57"/>
    <w:rsid w:val="7D2B624D"/>
    <w:rsid w:val="7DF27EF2"/>
    <w:rsid w:val="7EA630E7"/>
    <w:rsid w:val="7EB61058"/>
    <w:rsid w:val="7ED004CF"/>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5130</Words>
  <Characters>5445</Characters>
  <Lines>112</Lines>
  <Paragraphs>31</Paragraphs>
  <TotalTime>5</TotalTime>
  <ScaleCrop>false</ScaleCrop>
  <LinksUpToDate>false</LinksUpToDate>
  <CharactersWithSpaces>5479</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苏晨晓</cp:lastModifiedBy>
  <cp:lastPrinted>2021-07-21T07:06:00Z</cp:lastPrinted>
  <dcterms:modified xsi:type="dcterms:W3CDTF">2025-03-19T11:35:40Z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E6F430AC3DA2439288A8923F29C9C2B3</vt:lpwstr>
  </property>
</Properties>
</file>