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华夏理财悦瑞</w:t>
      </w:r>
      <w:r>
        <w:rPr>
          <w:rFonts w:hint="eastAsia" w:eastAsia="黑体"/>
          <w:bCs/>
          <w:kern w:val="2"/>
          <w:sz w:val="36"/>
          <w:szCs w:val="36"/>
          <w:lang w:eastAsia="zh-CN"/>
        </w:rPr>
        <w:t>日申年赎</w:t>
      </w:r>
      <w:r>
        <w:rPr>
          <w:rFonts w:hint="eastAsia" w:eastAsia="黑体"/>
          <w:bCs/>
          <w:kern w:val="2"/>
          <w:sz w:val="36"/>
          <w:szCs w:val="36"/>
        </w:rPr>
        <w:t>理财产品</w:t>
      </w:r>
      <w:r>
        <w:rPr>
          <w:rFonts w:hint="eastAsia" w:eastAsia="黑体"/>
          <w:bCs/>
          <w:kern w:val="2"/>
          <w:sz w:val="36"/>
          <w:szCs w:val="36"/>
          <w:lang w:val="en-US" w:eastAsia="zh-CN"/>
        </w:rPr>
        <w:t>1号</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仿宋" w:hAnsi="仿宋" w:eastAsia="仿宋"/>
                <w:b/>
                <w:bCs/>
                <w:szCs w:val="21"/>
                <w:lang w:val="en-US" w:eastAsia="zh-CN"/>
              </w:rPr>
            </w:pPr>
            <w:r>
              <w:rPr>
                <w:rFonts w:hint="eastAsia" w:ascii="仿宋" w:hAnsi="仿宋" w:eastAsia="仿宋"/>
                <w:b/>
                <w:bCs/>
                <w:szCs w:val="21"/>
              </w:rPr>
              <w:t>华夏理财悦瑞</w:t>
            </w:r>
            <w:r>
              <w:rPr>
                <w:rFonts w:hint="eastAsia" w:ascii="仿宋" w:hAnsi="仿宋" w:eastAsia="仿宋"/>
                <w:b/>
                <w:bCs/>
                <w:szCs w:val="21"/>
                <w:lang w:eastAsia="zh-CN"/>
              </w:rPr>
              <w:t>日申年赎</w:t>
            </w:r>
            <w:r>
              <w:rPr>
                <w:rFonts w:hint="eastAsia" w:ascii="仿宋" w:hAnsi="仿宋" w:eastAsia="仿宋"/>
                <w:b/>
                <w:bCs/>
                <w:szCs w:val="21"/>
              </w:rPr>
              <w:t>理财产品</w:t>
            </w:r>
            <w:r>
              <w:rPr>
                <w:rFonts w:hint="eastAsia" w:ascii="仿宋" w:hAnsi="仿宋" w:eastAsia="仿宋"/>
                <w:b/>
                <w:bCs/>
                <w:szCs w:val="21"/>
                <w:lang w:val="en-US" w:eastAsia="zh-CN"/>
              </w:rPr>
              <w:t>1号</w:t>
            </w:r>
          </w:p>
          <w:p>
            <w:pPr>
              <w:adjustRightInd/>
              <w:snapToGrid/>
              <w:spacing w:line="240" w:lineRule="auto"/>
              <w:jc w:val="center"/>
              <w:rPr>
                <w:rFonts w:hint="eastAsia" w:ascii="仿宋" w:hAnsi="仿宋" w:eastAsia="仿宋"/>
                <w:b/>
                <w:bCs/>
                <w:szCs w:val="21"/>
              </w:rPr>
            </w:pPr>
            <w:r>
              <w:rPr>
                <w:rFonts w:hint="eastAsia" w:ascii="仿宋" w:hAnsi="仿宋" w:eastAsia="仿宋"/>
                <w:b/>
                <w:bCs/>
                <w:szCs w:val="21"/>
              </w:rPr>
              <w:t>A份额简称：“华夏理财悦瑞</w:t>
            </w:r>
            <w:r>
              <w:rPr>
                <w:rFonts w:hint="eastAsia" w:ascii="仿宋" w:hAnsi="仿宋" w:eastAsia="仿宋"/>
                <w:b/>
                <w:bCs/>
                <w:szCs w:val="21"/>
                <w:lang w:eastAsia="zh-CN"/>
              </w:rPr>
              <w:t>日申年赎</w:t>
            </w:r>
            <w:r>
              <w:rPr>
                <w:rFonts w:hint="eastAsia" w:ascii="仿宋" w:hAnsi="仿宋" w:eastAsia="仿宋"/>
                <w:b/>
                <w:bCs/>
                <w:szCs w:val="21"/>
                <w:lang w:val="en-US" w:eastAsia="zh-CN"/>
              </w:rPr>
              <w:t>1号</w:t>
            </w:r>
            <w:r>
              <w:rPr>
                <w:rFonts w:hint="eastAsia" w:ascii="仿宋" w:hAnsi="仿宋" w:eastAsia="仿宋"/>
                <w:b/>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lang w:val="en-US" w:eastAsia="zh-CN"/>
              </w:rPr>
              <w:t>25136010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A份额：</w:t>
            </w:r>
            <w:r>
              <w:rPr>
                <w:rFonts w:hint="eastAsia" w:ascii="仿宋" w:hAnsi="仿宋" w:eastAsia="仿宋"/>
                <w:bCs/>
                <w:szCs w:val="21"/>
                <w:lang w:val="en-US" w:eastAsia="zh-CN"/>
              </w:rPr>
              <w:t>25136010</w:t>
            </w:r>
            <w:r>
              <w:rPr>
                <w:rFonts w:hint="eastAsia" w:ascii="仿宋" w:hAnsi="仿宋" w:eastAsia="仿宋"/>
                <w:bCs/>
                <w:szCs w:val="21"/>
              </w:rPr>
              <w:t>A</w:t>
            </w:r>
            <w:r>
              <w:rPr>
                <w:rFonts w:hint="eastAsia" w:ascii="仿宋" w:hAnsi="仿宋" w:eastAsia="仿宋"/>
                <w:bCs/>
                <w:szCs w:val="21"/>
                <w:lang w:eastAsia="zh-CN"/>
              </w:rPr>
              <w:t>（面向微众银行</w:t>
            </w:r>
            <w:r>
              <w:rPr>
                <w:rFonts w:hint="eastAsia" w:ascii="仿宋" w:hAnsi="仿宋" w:eastAsia="仿宋"/>
                <w:bCs/>
                <w:szCs w:val="21"/>
                <w:lang w:val="en-US" w:eastAsia="zh-CN"/>
              </w:rPr>
              <w:t>渠道</w:t>
            </w:r>
            <w:r>
              <w:rPr>
                <w:rFonts w:hint="eastAsia" w:ascii="仿宋" w:hAnsi="仿宋" w:eastAsia="仿宋"/>
                <w:bCs/>
                <w:szCs w:val="21"/>
                <w:lang w:eastAsia="zh-CN"/>
              </w:rPr>
              <w:t>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u w:val="none"/>
                <w:lang w:val="en-US" w:eastAsia="zh-CN"/>
              </w:rPr>
            </w:pPr>
            <w:r>
              <w:rPr>
                <w:rFonts w:hint="eastAsia" w:ascii="仿宋" w:hAnsi="仿宋" w:eastAsia="仿宋"/>
                <w:bCs/>
                <w:szCs w:val="21"/>
                <w:u w:val="none"/>
                <w:lang w:val="en-US" w:eastAsia="zh-CN"/>
              </w:rPr>
              <w:t>Z7003925000910</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u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lang w:eastAsia="zh-CN"/>
              </w:rPr>
              <w:t>【</w:t>
            </w:r>
            <w:r>
              <w:rPr>
                <w:rFonts w:hint="eastAsia" w:ascii="仿宋" w:hAnsi="仿宋" w:eastAsia="仿宋"/>
                <w:bCs/>
                <w:color w:val="000000"/>
                <w:szCs w:val="21"/>
                <w:u w:val="single"/>
              </w:rPr>
              <w:t>CR2（稳健型）、CR3（平衡型）、CR4（进取型）、CR5（激进型）</w:t>
            </w:r>
            <w:r>
              <w:rPr>
                <w:rFonts w:hint="eastAsia" w:ascii="仿宋" w:hAnsi="仿宋" w:eastAsia="仿宋"/>
                <w:bCs/>
                <w:color w:val="000000"/>
                <w:szCs w:val="21"/>
                <w:u w:val="single"/>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基准为1.</w:t>
            </w:r>
            <w:r>
              <w:rPr>
                <w:rFonts w:hint="eastAsia" w:ascii="仿宋" w:hAnsi="仿宋" w:eastAsia="仿宋" w:cs="Cambria"/>
                <w:bCs/>
                <w:szCs w:val="21"/>
                <w:lang w:val="en-US" w:eastAsia="zh-CN"/>
              </w:rPr>
              <w:t>7</w:t>
            </w:r>
            <w:r>
              <w:rPr>
                <w:rFonts w:hint="eastAsia" w:ascii="仿宋" w:hAnsi="仿宋" w:eastAsia="仿宋" w:cs="Cambria"/>
                <w:bCs/>
                <w:szCs w:val="21"/>
              </w:rPr>
              <w:t>0%-2.</w:t>
            </w:r>
            <w:r>
              <w:rPr>
                <w:rFonts w:hint="eastAsia" w:ascii="仿宋" w:hAnsi="仿宋" w:eastAsia="仿宋" w:cs="Cambria"/>
                <w:bCs/>
                <w:szCs w:val="21"/>
                <w:lang w:val="en-US" w:eastAsia="zh-CN"/>
              </w:rPr>
              <w:t>7</w:t>
            </w:r>
            <w:r>
              <w:rPr>
                <w:rFonts w:hint="eastAsia" w:ascii="仿宋" w:hAnsi="仿宋" w:eastAsia="仿宋" w:cs="Cambria"/>
                <w:bCs/>
                <w:szCs w:val="21"/>
              </w:rPr>
              <w:t>0%（年化）。以产品投资现金等高流动性资产仓位5%-10%，存款、债券类仓位80%-100%，权益类资产仓位0-20%，组合杠杆率100%-120%为例，参考中债-信用债总财富指数、优先股资产收益率，结合产品投资策略并扣除各项费用后，综合测算得出上述业绩比较基准。</w:t>
            </w:r>
            <w:r>
              <w:rPr>
                <w:rFonts w:hint="eastAsia" w:ascii="仿宋" w:hAnsi="仿宋" w:eastAsia="仿宋"/>
                <w:bCs/>
                <w:color w:val="000000"/>
                <w:szCs w:val="21"/>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hint="eastAsia" w:ascii="仿宋" w:hAnsi="仿宋" w:eastAsia="仿宋"/>
                <w:bCs/>
                <w:szCs w:val="21"/>
                <w:lang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ascii="仿宋" w:hAnsi="仿宋" w:eastAsia="仿宋"/>
                <w:bCs/>
                <w:szCs w:val="21"/>
              </w:rPr>
              <w:t>年</w:t>
            </w:r>
            <w:r>
              <w:rPr>
                <w:rFonts w:hint="eastAsia" w:ascii="仿宋" w:hAnsi="仿宋" w:eastAsia="仿宋"/>
                <w:bCs/>
                <w:szCs w:val="21"/>
                <w:lang w:val="en-US" w:eastAsia="zh-CN"/>
              </w:rPr>
              <w:t>7</w:t>
            </w:r>
            <w:r>
              <w:rPr>
                <w:rFonts w:ascii="仿宋" w:hAnsi="仿宋" w:eastAsia="仿宋"/>
                <w:bCs/>
                <w:szCs w:val="21"/>
              </w:rPr>
              <w:t>月</w:t>
            </w:r>
            <w:r>
              <w:rPr>
                <w:rFonts w:hint="eastAsia" w:ascii="仿宋" w:hAnsi="仿宋" w:eastAsia="仿宋"/>
                <w:bCs/>
                <w:szCs w:val="21"/>
                <w:lang w:val="en-US" w:eastAsia="zh-CN"/>
              </w:rPr>
              <w:t>16</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lang w:val="en-US" w:eastAsia="zh-CN"/>
              </w:rPr>
              <w:t>本产品计划发行规模下限为1000万元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1元，以</w:t>
            </w:r>
            <w:r>
              <w:rPr>
                <w:rFonts w:hint="eastAsia" w:ascii="仿宋" w:hAnsi="仿宋" w:eastAsia="仿宋"/>
                <w:bCs/>
                <w:szCs w:val="21"/>
                <w:lang w:val="en-US" w:eastAsia="zh-CN"/>
              </w:rPr>
              <w:t>0.0</w:t>
            </w:r>
            <w:r>
              <w:rPr>
                <w:rFonts w:ascii="仿宋" w:hAnsi="仿宋" w:eastAsia="仿宋"/>
                <w:bCs/>
                <w:szCs w:val="21"/>
              </w:rPr>
              <w:t>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keepNext w:val="0"/>
              <w:adjustRightInd w:val="0"/>
              <w:snapToGrid w:val="0"/>
              <w:spacing w:line="240" w:lineRule="atLeast"/>
              <w:ind w:right="0" w:firstLine="422" w:firstLineChars="200"/>
              <w:rPr>
                <w:rFonts w:hint="eastAsia" w:ascii="仿宋" w:hAnsi="仿宋" w:eastAsia="仿宋"/>
                <w:szCs w:val="21"/>
              </w:rPr>
            </w:pPr>
            <w:r>
              <w:rPr>
                <w:rFonts w:hint="eastAsia" w:ascii="仿宋" w:hAnsi="仿宋" w:eastAsia="仿宋"/>
                <w:b/>
                <w:bCs w:val="0"/>
                <w:szCs w:val="21"/>
                <w:lang w:val="en-US" w:eastAsia="zh-CN"/>
              </w:rPr>
              <w:t>本产品的</w:t>
            </w:r>
            <w:r>
              <w:rPr>
                <w:rFonts w:hint="eastAsia" w:ascii="仿宋" w:hAnsi="仿宋" w:eastAsia="仿宋"/>
                <w:b/>
                <w:bCs w:val="0"/>
                <w:szCs w:val="21"/>
              </w:rPr>
              <w:t>开放日</w:t>
            </w:r>
            <w:r>
              <w:rPr>
                <w:rFonts w:hint="eastAsia" w:ascii="仿宋" w:hAnsi="仿宋" w:eastAsia="仿宋"/>
                <w:b/>
                <w:szCs w:val="21"/>
                <w:lang w:val="en-US" w:eastAsia="zh-CN"/>
              </w:rPr>
              <w:t>分为</w:t>
            </w:r>
            <w:r>
              <w:rPr>
                <w:rFonts w:hint="eastAsia" w:ascii="仿宋" w:hAnsi="仿宋" w:eastAsia="仿宋"/>
                <w:b/>
                <w:szCs w:val="21"/>
              </w:rPr>
              <w:t>申购开放日</w:t>
            </w:r>
            <w:r>
              <w:rPr>
                <w:rFonts w:hint="eastAsia" w:ascii="仿宋" w:hAnsi="仿宋" w:eastAsia="仿宋"/>
                <w:b/>
                <w:szCs w:val="21"/>
                <w:lang w:val="en-US" w:eastAsia="zh-CN"/>
              </w:rPr>
              <w:t>和赎回开放日</w:t>
            </w:r>
            <w:r>
              <w:rPr>
                <w:rFonts w:hint="eastAsia" w:ascii="仿宋" w:hAnsi="仿宋" w:eastAsia="仿宋"/>
                <w:b/>
                <w:bCs w:val="0"/>
                <w:szCs w:val="21"/>
              </w:rPr>
              <w:t>。</w:t>
            </w:r>
            <w:r>
              <w:rPr>
                <w:rFonts w:hint="eastAsia" w:ascii="仿宋" w:hAnsi="仿宋" w:eastAsia="仿宋"/>
                <w:b/>
                <w:szCs w:val="21"/>
                <w:lang w:val="en-US" w:eastAsia="zh-CN"/>
              </w:rPr>
              <w:t>本产品的</w:t>
            </w:r>
            <w:r>
              <w:rPr>
                <w:rFonts w:hint="eastAsia" w:ascii="仿宋" w:hAnsi="仿宋" w:eastAsia="仿宋"/>
                <w:b/>
                <w:szCs w:val="21"/>
              </w:rPr>
              <w:t>申购开放日为</w:t>
            </w:r>
            <w:r>
              <w:rPr>
                <w:rFonts w:hint="eastAsia" w:ascii="仿宋" w:hAnsi="仿宋" w:eastAsia="仿宋"/>
                <w:b/>
                <w:bCs w:val="0"/>
                <w:szCs w:val="21"/>
              </w:rPr>
              <w:t>产品成立后每个</w:t>
            </w:r>
            <w:r>
              <w:rPr>
                <w:rFonts w:ascii="仿宋" w:hAnsi="仿宋" w:eastAsia="仿宋"/>
                <w:b/>
                <w:bCs w:val="0"/>
                <w:szCs w:val="21"/>
              </w:rPr>
              <w:t>工作日</w:t>
            </w:r>
            <w:r>
              <w:rPr>
                <w:rFonts w:hint="eastAsia" w:ascii="仿宋" w:hAnsi="仿宋" w:eastAsia="仿宋"/>
                <w:b/>
                <w:szCs w:val="21"/>
              </w:rPr>
              <w:t>。本产品</w:t>
            </w:r>
            <w:r>
              <w:rPr>
                <w:rFonts w:hint="eastAsia" w:ascii="仿宋" w:hAnsi="仿宋" w:eastAsia="仿宋"/>
                <w:b/>
                <w:szCs w:val="21"/>
                <w:lang w:val="en-US" w:eastAsia="zh-CN"/>
              </w:rPr>
              <w:t>的首个</w:t>
            </w:r>
            <w:r>
              <w:rPr>
                <w:rFonts w:hint="eastAsia" w:ascii="仿宋" w:hAnsi="仿宋" w:eastAsia="仿宋"/>
                <w:b/>
                <w:szCs w:val="21"/>
              </w:rPr>
              <w:t>赎回开放日</w:t>
            </w:r>
            <w:r>
              <w:rPr>
                <w:rFonts w:hint="eastAsia" w:ascii="仿宋" w:hAnsi="仿宋" w:eastAsia="仿宋"/>
                <w:b/>
                <w:szCs w:val="21"/>
                <w:lang w:val="en-US" w:eastAsia="zh-CN"/>
              </w:rPr>
              <w:t>为2026年1月21日，后续每年开放赎回一次，即每年1月的第3个周三为赎回开放日</w:t>
            </w:r>
            <w:r>
              <w:rPr>
                <w:rFonts w:hint="eastAsia" w:ascii="仿宋" w:hAnsi="仿宋" w:eastAsia="仿宋"/>
                <w:b/>
                <w:szCs w:val="21"/>
              </w:rPr>
              <w:t>，</w:t>
            </w:r>
            <w:r>
              <w:rPr>
                <w:rFonts w:hint="eastAsia" w:ascii="仿宋" w:hAnsi="仿宋" w:eastAsia="仿宋"/>
                <w:b/>
                <w:szCs w:val="21"/>
                <w:lang w:val="en-US" w:eastAsia="zh-CN"/>
              </w:rPr>
              <w:t>赎回开放日</w:t>
            </w:r>
            <w:r>
              <w:rPr>
                <w:rFonts w:hint="eastAsia" w:ascii="仿宋" w:hAnsi="仿宋" w:eastAsia="仿宋"/>
                <w:b/>
                <w:bCs w:val="0"/>
                <w:szCs w:val="21"/>
              </w:rPr>
              <w:t>如遇非工作日则顺延至下一个工作日</w:t>
            </w:r>
            <w:r>
              <w:rPr>
                <w:rFonts w:hint="eastAsia" w:ascii="仿宋" w:hAnsi="仿宋" w:eastAsia="仿宋"/>
                <w:b/>
                <w:bCs w:val="0"/>
                <w:szCs w:val="21"/>
                <w:lang w:eastAsia="zh-CN"/>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hint="eastAsia" w:ascii="仿宋" w:hAnsi="仿宋" w:eastAsia="仿宋"/>
                <w:u w:val="single"/>
                <w:lang w:eastAsia="zh-CN"/>
              </w:rPr>
              <w:t>0:00</w:t>
            </w:r>
            <w:r>
              <w:rPr>
                <w:rFonts w:hint="eastAsia" w:ascii="仿宋" w:hAnsi="仿宋" w:eastAsia="仿宋"/>
                <w:u w:val="single"/>
              </w:rPr>
              <w:t>-</w:t>
            </w:r>
            <w:r>
              <w:rPr>
                <w:rFonts w:hint="eastAsia" w:ascii="仿宋" w:hAnsi="仿宋" w:eastAsia="仿宋"/>
                <w:u w:val="single"/>
                <w:lang w:eastAsia="zh-CN"/>
              </w:rPr>
              <w:t>17:00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投资者仅可在在产品</w:t>
            </w:r>
            <w:r>
              <w:rPr>
                <w:rFonts w:hint="eastAsia" w:ascii="仿宋" w:hAnsi="仿宋" w:eastAsia="仿宋"/>
                <w:b/>
                <w:szCs w:val="21"/>
                <w:lang w:val="en-US" w:eastAsia="zh-CN"/>
              </w:rPr>
              <w:t>赎回</w:t>
            </w:r>
            <w:r>
              <w:rPr>
                <w:rFonts w:hint="eastAsia" w:ascii="仿宋" w:hAnsi="仿宋" w:eastAsia="仿宋"/>
                <w:b/>
                <w:szCs w:val="21"/>
              </w:rPr>
              <w:t>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 w:val="0"/>
                <w:bCs/>
                <w:szCs w:val="21"/>
                <w:lang w:val="en-US" w:eastAsia="zh-CN"/>
              </w:rPr>
              <w:t>赎回开放日前的</w:t>
            </w:r>
            <w:r>
              <w:rPr>
                <w:rFonts w:hint="eastAsia" w:ascii="仿宋" w:hAnsi="仿宋" w:eastAsia="仿宋"/>
                <w:bCs/>
                <w:szCs w:val="21"/>
              </w:rPr>
              <w:t xml:space="preserve">最后一个工作日 </w:t>
            </w:r>
            <w:r>
              <w:rPr>
                <w:rFonts w:hint="eastAsia" w:ascii="仿宋" w:hAnsi="仿宋" w:eastAsia="仿宋"/>
                <w:u w:val="single"/>
                <w:lang w:eastAsia="zh-CN"/>
              </w:rPr>
              <w:t>17:00</w:t>
            </w:r>
            <w:r>
              <w:rPr>
                <w:rFonts w:hint="eastAsia" w:ascii="仿宋" w:hAnsi="仿宋" w:eastAsia="仿宋"/>
                <w:u w:val="single"/>
              </w:rPr>
              <w:t>（不含）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lang w:val="en-US" w:eastAsia="zh-CN"/>
              </w:rPr>
              <w:t>下一</w:t>
            </w:r>
            <w:r>
              <w:rPr>
                <w:rFonts w:hint="eastAsia" w:ascii="仿宋" w:hAnsi="仿宋" w:eastAsia="仿宋"/>
                <w:bCs/>
                <w:szCs w:val="21"/>
              </w:rPr>
              <w:t>个赎回开放日开放时间内提交的赎回申请。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w:t>
            </w:r>
            <w:r>
              <w:rPr>
                <w:rFonts w:hint="eastAsia" w:ascii="仿宋" w:hAnsi="仿宋" w:eastAsia="仿宋"/>
                <w:bCs/>
                <w:szCs w:val="21"/>
                <w:lang w:val="en-US" w:eastAsia="zh-CN"/>
              </w:rPr>
              <w:t>赎回开放日前</w:t>
            </w:r>
            <w:r>
              <w:rPr>
                <w:rFonts w:hint="eastAsia" w:ascii="仿宋" w:hAnsi="仿宋" w:eastAsia="仿宋"/>
                <w:bCs/>
                <w:szCs w:val="21"/>
              </w:rPr>
              <w:t>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hint="eastAsia" w:ascii="仿宋" w:hAnsi="仿宋" w:eastAsia="仿宋"/>
                <w:bCs/>
                <w:szCs w:val="21"/>
                <w:u w:val="single"/>
                <w:lang w:eastAsia="zh-CN"/>
              </w:rPr>
              <w:t>17:00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  ；E为计算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40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4</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4</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lang w:val="en-US" w:eastAsia="zh-CN"/>
              </w:rPr>
              <w:t>5,</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本产品100%投资于货币市场工具、标准化债权类资产等固定收益类资产,权益类资产</w:t>
      </w:r>
      <w:r>
        <w:rPr>
          <w:rFonts w:hint="eastAsia" w:ascii="仿宋" w:hAnsi="仿宋" w:eastAsia="仿宋" w:cs="宋体"/>
          <w:color w:val="000000"/>
          <w:kern w:val="0"/>
          <w:sz w:val="24"/>
          <w:lang w:eastAsia="zh-CN"/>
        </w:rPr>
        <w:t>，商品及金融衍生品类资产</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5303"/>
        <w:gridCol w:w="2760"/>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530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760"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530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ascii="Times New Roman" w:hAnsi="Times New Roman" w:eastAsia="仿宋" w:cs="Times New Roman"/>
                <w:color w:val="000000"/>
                <w:kern w:val="0"/>
                <w:sz w:val="24"/>
                <w:szCs w:val="24"/>
                <w:lang w:val="en-US" w:eastAsia="zh-CN" w:bidi="ar-SA"/>
              </w:rPr>
            </w:pPr>
            <w:r>
              <w:rPr>
                <w:rFonts w:hint="eastAsia" w:ascii="仿宋" w:hAnsi="仿宋" w:eastAsia="仿宋" w:cs="宋体"/>
                <w:color w:val="000000"/>
                <w:kern w:val="0"/>
                <w:sz w:val="24"/>
                <w:szCs w:val="20"/>
              </w:rPr>
              <w:t>固定收益类</w:t>
            </w:r>
          </w:p>
        </w:tc>
        <w:tc>
          <w:tcPr>
            <w:tcW w:w="2760"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ascii="Times New Roman" w:hAnsi="Times New Roman" w:eastAsia="仿宋" w:cs="Times New Roman"/>
                <w:color w:val="000000"/>
                <w:kern w:val="0"/>
                <w:sz w:val="24"/>
                <w:szCs w:val="24"/>
                <w:lang w:val="en-US" w:eastAsia="zh-CN" w:bidi="ar-SA"/>
              </w:rPr>
            </w:pPr>
            <w:r>
              <w:rPr>
                <w:rFonts w:hint="eastAsia" w:ascii="仿宋" w:hAnsi="仿宋" w:eastAsia="仿宋" w:cs="宋体"/>
                <w:color w:val="000000"/>
                <w:kern w:val="0"/>
                <w:sz w:val="24"/>
                <w:szCs w:val="20"/>
              </w:rPr>
              <w:t>80%（含）-100%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jc w:val="center"/>
        </w:trPr>
        <w:tc>
          <w:tcPr>
            <w:tcW w:w="5303"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beforeLines="0" w:afterLines="0" w:line="560" w:lineRule="exact"/>
              <w:jc w:val="center"/>
              <w:rPr>
                <w:rFonts w:hint="eastAsia" w:ascii="仿宋" w:hAnsi="仿宋" w:eastAsia="仿宋" w:cs="宋体"/>
                <w:color w:val="000000"/>
                <w:kern w:val="0"/>
                <w:sz w:val="24"/>
                <w:szCs w:val="20"/>
                <w:lang w:val="en-US" w:eastAsia="zh-CN" w:bidi="ar-SA"/>
              </w:rPr>
            </w:pPr>
            <w:r>
              <w:rPr>
                <w:rFonts w:hint="eastAsia" w:ascii="仿宋" w:hAnsi="仿宋" w:eastAsia="仿宋" w:cs="宋体"/>
                <w:color w:val="000000"/>
                <w:kern w:val="0"/>
                <w:sz w:val="24"/>
                <w:szCs w:val="20"/>
              </w:rPr>
              <w:t>权益类</w:t>
            </w:r>
          </w:p>
        </w:tc>
        <w:tc>
          <w:tcPr>
            <w:tcW w:w="2760"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ascii="Times New Roman" w:hAnsi="Times New Roman" w:eastAsia="仿宋" w:cs="Times New Roman"/>
                <w:color w:val="000000"/>
                <w:kern w:val="0"/>
                <w:sz w:val="24"/>
                <w:szCs w:val="24"/>
                <w:lang w:val="en-US" w:eastAsia="zh-CN" w:bidi="ar-SA"/>
              </w:rPr>
            </w:pPr>
            <w:r>
              <w:rPr>
                <w:rFonts w:hint="eastAsia" w:ascii="仿宋" w:hAnsi="仿宋" w:eastAsia="仿宋" w:cs="宋体"/>
                <w:color w:val="000000"/>
                <w:kern w:val="0"/>
                <w:sz w:val="24"/>
                <w:szCs w:val="20"/>
              </w:rPr>
              <w:t>0%-20%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jc w:val="center"/>
        </w:trPr>
        <w:tc>
          <w:tcPr>
            <w:tcW w:w="5303"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beforeLines="0" w:afterLines="0" w:line="560" w:lineRule="exact"/>
              <w:jc w:val="center"/>
              <w:rPr>
                <w:rFonts w:hint="eastAsia" w:ascii="仿宋" w:hAnsi="仿宋" w:eastAsia="仿宋" w:cs="宋体"/>
                <w:color w:val="000000"/>
                <w:kern w:val="0"/>
                <w:sz w:val="24"/>
                <w:szCs w:val="20"/>
              </w:rPr>
            </w:pPr>
            <w:r>
              <w:rPr>
                <w:rFonts w:hint="eastAsia" w:ascii="仿宋" w:hAnsi="仿宋" w:eastAsia="仿宋" w:cs="宋体"/>
                <w:color w:val="000000"/>
                <w:kern w:val="0"/>
                <w:sz w:val="24"/>
                <w:szCs w:val="20"/>
              </w:rPr>
              <w:t>商品及金融衍生品类</w:t>
            </w:r>
          </w:p>
          <w:p>
            <w:pPr>
              <w:adjustRightInd w:val="0"/>
              <w:snapToGrid w:val="0"/>
              <w:spacing w:beforeLines="0" w:afterLines="0" w:line="560" w:lineRule="exact"/>
              <w:jc w:val="center"/>
              <w:rPr>
                <w:rFonts w:hint="eastAsia" w:ascii="仿宋" w:hAnsi="仿宋" w:eastAsia="仿宋" w:cs="宋体"/>
                <w:color w:val="000000"/>
                <w:kern w:val="0"/>
                <w:sz w:val="24"/>
                <w:szCs w:val="20"/>
                <w:lang w:val="en-US" w:eastAsia="zh-CN" w:bidi="ar-SA"/>
              </w:rPr>
            </w:pPr>
            <w:r>
              <w:rPr>
                <w:rFonts w:hint="eastAsia" w:ascii="仿宋" w:hAnsi="仿宋" w:eastAsia="仿宋" w:cs="宋体"/>
                <w:color w:val="000000"/>
                <w:kern w:val="0"/>
                <w:sz w:val="24"/>
                <w:szCs w:val="20"/>
              </w:rPr>
              <w:t>（商品及金融衍生品类资产投资须符合监管要求）</w:t>
            </w:r>
          </w:p>
        </w:tc>
        <w:tc>
          <w:tcPr>
            <w:tcW w:w="2760"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hint="eastAsia" w:ascii="仿宋" w:hAnsi="仿宋" w:eastAsia="仿宋" w:cs="宋体"/>
                <w:color w:val="000000"/>
                <w:kern w:val="0"/>
                <w:sz w:val="24"/>
                <w:szCs w:val="20"/>
                <w:lang w:val="en-US" w:eastAsia="zh-CN" w:bidi="ar-SA"/>
              </w:rPr>
            </w:pPr>
            <w:r>
              <w:rPr>
                <w:rFonts w:hint="eastAsia" w:ascii="仿宋" w:hAnsi="仿宋" w:eastAsia="仿宋" w:cs="宋体"/>
                <w:color w:val="000000"/>
                <w:kern w:val="0"/>
                <w:sz w:val="24"/>
                <w:szCs w:val="20"/>
              </w:rPr>
              <w:t>0%-20%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lang w:eastAsia="zh-CN"/>
        </w:rPr>
        <w:t>、</w:t>
      </w:r>
      <w:r>
        <w:rPr>
          <w:rFonts w:hint="eastAsia" w:ascii="仿宋" w:hAnsi="仿宋" w:eastAsia="仿宋"/>
          <w:lang w:val="en-US" w:eastAsia="zh-CN"/>
        </w:rPr>
        <w:t>权益类资产、商品及金融衍生品类资产</w:t>
      </w:r>
      <w:r>
        <w:rPr>
          <w:rFonts w:hint="eastAsia" w:ascii="仿宋" w:hAnsi="仿宋" w:eastAsia="仿宋"/>
        </w:rPr>
        <w:t>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1"/>
        </w:numPr>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本产品特有风险说明</w:t>
      </w:r>
    </w:p>
    <w:p>
      <w:pPr>
        <w:pStyle w:val="22"/>
        <w:numPr>
          <w:ilvl w:val="0"/>
          <w:numId w:val="0"/>
        </w:numPr>
        <w:snapToGrid w:val="0"/>
        <w:spacing w:beforeLines="0" w:afterLines="0" w:line="276" w:lineRule="auto"/>
        <w:ind w:firstLine="0" w:firstLineChars="0"/>
        <w:contextualSpacing/>
        <w:jc w:val="both"/>
        <w:rPr>
          <w:rFonts w:hint="eastAsia" w:ascii="Times New Roman" w:eastAsia="黑体" w:cs="Times New Roman"/>
          <w:b/>
        </w:rPr>
      </w:pPr>
      <w:r>
        <w:rPr>
          <w:rFonts w:hint="eastAsia" w:ascii="Times New Roman" w:eastAsia="黑体" w:cs="Times New Roman"/>
          <w:b/>
          <w:lang w:val="en-US" w:eastAsia="zh-CN"/>
        </w:rPr>
        <w:t xml:space="preserve">    </w:t>
      </w: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6</w:t>
      </w:r>
      <w:r>
        <w:rPr>
          <w:rFonts w:hint="eastAsia" w:ascii="Times New Roman" w:hAnsi="Times New Roman" w:eastAsia="黑体" w:cs="Times New Roman"/>
          <w:b/>
          <w:kern w:val="0"/>
          <w:sz w:val="24"/>
          <w:szCs w:val="24"/>
          <w:lang w:val="en-US" w:eastAsia="zh-CN" w:bidi="ar-SA"/>
        </w:rPr>
        <w:t xml:space="preserve">.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22"/>
        <w:snapToGrid w:val="0"/>
        <w:spacing w:beforeLines="0" w:afterLines="0" w:line="276" w:lineRule="auto"/>
        <w:ind w:firstLine="482"/>
        <w:contextualSpacing/>
        <w:rPr>
          <w:rFonts w:hint="eastAsia" w:ascii="Times New Roman" w:eastAsia="黑体" w:cs="Times New Roman"/>
          <w:b/>
          <w:bCs w:val="0"/>
          <w:kern w:val="0"/>
          <w:sz w:val="24"/>
          <w:szCs w:val="24"/>
          <w:lang w:val="en-US" w:eastAsia="zh-CN" w:bidi="ar-SA"/>
        </w:rPr>
      </w:pPr>
      <w:r>
        <w:rPr>
          <w:rFonts w:hint="eastAsia" w:ascii="Times New Roman" w:eastAsia="黑体" w:cs="Times New Roman"/>
          <w:b/>
          <w:lang w:val="en-US" w:eastAsia="zh-CN"/>
        </w:rPr>
        <w:t>7.</w:t>
      </w:r>
      <w:r>
        <w:rPr>
          <w:rFonts w:hint="eastAsia" w:ascii="Times New Roman" w:eastAsia="黑体" w:cs="Times New Roman"/>
          <w:b/>
          <w:bCs w:val="0"/>
          <w:kern w:val="0"/>
          <w:sz w:val="24"/>
          <w:szCs w:val="24"/>
          <w:lang w:val="en-US" w:eastAsia="zh-CN" w:bidi="ar-SA"/>
        </w:rPr>
        <w:t>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w:t>
      </w:r>
    </w:p>
    <w:p>
      <w:pPr>
        <w:pStyle w:val="22"/>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bCs w:val="0"/>
          <w:kern w:val="0"/>
          <w:sz w:val="24"/>
          <w:szCs w:val="24"/>
          <w:lang w:val="en-US" w:eastAsia="zh-CN" w:bidi="ar-SA"/>
        </w:rPr>
        <w:t>8.</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22"/>
        <w:numPr>
          <w:ilvl w:val="0"/>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E328FF"/>
    <w:multiLevelType w:val="singleLevel"/>
    <w:tmpl w:val="64E328FF"/>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DCA"/>
    <w:rsid w:val="0000532D"/>
    <w:rsid w:val="00020F81"/>
    <w:rsid w:val="00043C9A"/>
    <w:rsid w:val="0004783E"/>
    <w:rsid w:val="00063561"/>
    <w:rsid w:val="000713E1"/>
    <w:rsid w:val="000805E4"/>
    <w:rsid w:val="000A3C07"/>
    <w:rsid w:val="000B32CF"/>
    <w:rsid w:val="000D002A"/>
    <w:rsid w:val="000D7DE2"/>
    <w:rsid w:val="000E195A"/>
    <w:rsid w:val="000E7817"/>
    <w:rsid w:val="000F0804"/>
    <w:rsid w:val="00111D14"/>
    <w:rsid w:val="001260F4"/>
    <w:rsid w:val="001318D7"/>
    <w:rsid w:val="00141481"/>
    <w:rsid w:val="001423F3"/>
    <w:rsid w:val="00146323"/>
    <w:rsid w:val="00157A10"/>
    <w:rsid w:val="00170760"/>
    <w:rsid w:val="00172A27"/>
    <w:rsid w:val="001737BF"/>
    <w:rsid w:val="001B29E5"/>
    <w:rsid w:val="001E22CF"/>
    <w:rsid w:val="001E4307"/>
    <w:rsid w:val="00214B23"/>
    <w:rsid w:val="00227F2A"/>
    <w:rsid w:val="002821E2"/>
    <w:rsid w:val="002878AF"/>
    <w:rsid w:val="00294355"/>
    <w:rsid w:val="002A2967"/>
    <w:rsid w:val="002A2FEF"/>
    <w:rsid w:val="002E7F9D"/>
    <w:rsid w:val="00311EF5"/>
    <w:rsid w:val="00351C38"/>
    <w:rsid w:val="00365E5C"/>
    <w:rsid w:val="003923B3"/>
    <w:rsid w:val="003B2A65"/>
    <w:rsid w:val="003D55AF"/>
    <w:rsid w:val="003D65A8"/>
    <w:rsid w:val="003E4BEB"/>
    <w:rsid w:val="003E7186"/>
    <w:rsid w:val="003F4E18"/>
    <w:rsid w:val="003F6114"/>
    <w:rsid w:val="004021F4"/>
    <w:rsid w:val="0044086D"/>
    <w:rsid w:val="00450B40"/>
    <w:rsid w:val="00462536"/>
    <w:rsid w:val="004734C8"/>
    <w:rsid w:val="00494748"/>
    <w:rsid w:val="004C4084"/>
    <w:rsid w:val="004E60FD"/>
    <w:rsid w:val="004E7D97"/>
    <w:rsid w:val="004F4E81"/>
    <w:rsid w:val="004F648F"/>
    <w:rsid w:val="005016FC"/>
    <w:rsid w:val="005103AE"/>
    <w:rsid w:val="005114E6"/>
    <w:rsid w:val="00512B7C"/>
    <w:rsid w:val="0054238B"/>
    <w:rsid w:val="005604F6"/>
    <w:rsid w:val="00560CC1"/>
    <w:rsid w:val="005727C8"/>
    <w:rsid w:val="005C08EC"/>
    <w:rsid w:val="005F66E4"/>
    <w:rsid w:val="00601E1F"/>
    <w:rsid w:val="006075D0"/>
    <w:rsid w:val="00613BD1"/>
    <w:rsid w:val="00650968"/>
    <w:rsid w:val="00656FE9"/>
    <w:rsid w:val="00667B5F"/>
    <w:rsid w:val="00670595"/>
    <w:rsid w:val="00677437"/>
    <w:rsid w:val="00681E3A"/>
    <w:rsid w:val="0068328B"/>
    <w:rsid w:val="006860DD"/>
    <w:rsid w:val="0069073D"/>
    <w:rsid w:val="006915E0"/>
    <w:rsid w:val="006B60A4"/>
    <w:rsid w:val="006D3A14"/>
    <w:rsid w:val="006E0E9D"/>
    <w:rsid w:val="006E742E"/>
    <w:rsid w:val="006F119A"/>
    <w:rsid w:val="006F13D3"/>
    <w:rsid w:val="00712CC7"/>
    <w:rsid w:val="007311CA"/>
    <w:rsid w:val="00734D46"/>
    <w:rsid w:val="0076606B"/>
    <w:rsid w:val="00777429"/>
    <w:rsid w:val="007803B7"/>
    <w:rsid w:val="007815CF"/>
    <w:rsid w:val="00792744"/>
    <w:rsid w:val="007D3CEF"/>
    <w:rsid w:val="007F32C1"/>
    <w:rsid w:val="007F39EF"/>
    <w:rsid w:val="00807591"/>
    <w:rsid w:val="008277B6"/>
    <w:rsid w:val="008340D5"/>
    <w:rsid w:val="00836CF0"/>
    <w:rsid w:val="00843345"/>
    <w:rsid w:val="00846F1F"/>
    <w:rsid w:val="00852D93"/>
    <w:rsid w:val="00863612"/>
    <w:rsid w:val="008719FA"/>
    <w:rsid w:val="00887E73"/>
    <w:rsid w:val="008D19F3"/>
    <w:rsid w:val="008D5335"/>
    <w:rsid w:val="008D5F85"/>
    <w:rsid w:val="008E0C40"/>
    <w:rsid w:val="008E628E"/>
    <w:rsid w:val="008F6891"/>
    <w:rsid w:val="00902123"/>
    <w:rsid w:val="00916782"/>
    <w:rsid w:val="00930217"/>
    <w:rsid w:val="0093726A"/>
    <w:rsid w:val="00971A91"/>
    <w:rsid w:val="00972105"/>
    <w:rsid w:val="00991FA8"/>
    <w:rsid w:val="009A3572"/>
    <w:rsid w:val="009C0A85"/>
    <w:rsid w:val="009C4B76"/>
    <w:rsid w:val="009C5840"/>
    <w:rsid w:val="009E3137"/>
    <w:rsid w:val="009E6D89"/>
    <w:rsid w:val="009F0D25"/>
    <w:rsid w:val="009F1CB5"/>
    <w:rsid w:val="00A175E9"/>
    <w:rsid w:val="00A25440"/>
    <w:rsid w:val="00A33474"/>
    <w:rsid w:val="00A51A90"/>
    <w:rsid w:val="00A547BE"/>
    <w:rsid w:val="00A87692"/>
    <w:rsid w:val="00A93593"/>
    <w:rsid w:val="00A978E7"/>
    <w:rsid w:val="00AA7D8A"/>
    <w:rsid w:val="00AD7FE0"/>
    <w:rsid w:val="00AE1B0B"/>
    <w:rsid w:val="00AE26B5"/>
    <w:rsid w:val="00AE7F75"/>
    <w:rsid w:val="00AF3F07"/>
    <w:rsid w:val="00B417F5"/>
    <w:rsid w:val="00B47C68"/>
    <w:rsid w:val="00B5695A"/>
    <w:rsid w:val="00B706FB"/>
    <w:rsid w:val="00BA2B7F"/>
    <w:rsid w:val="00BA77A8"/>
    <w:rsid w:val="00BB3661"/>
    <w:rsid w:val="00BB4269"/>
    <w:rsid w:val="00BC4B7F"/>
    <w:rsid w:val="00BE076D"/>
    <w:rsid w:val="00BE4A47"/>
    <w:rsid w:val="00C04B81"/>
    <w:rsid w:val="00C33E4C"/>
    <w:rsid w:val="00C802C3"/>
    <w:rsid w:val="00CC61DF"/>
    <w:rsid w:val="00CD1E7D"/>
    <w:rsid w:val="00CE50FA"/>
    <w:rsid w:val="00D04171"/>
    <w:rsid w:val="00D04582"/>
    <w:rsid w:val="00D06C20"/>
    <w:rsid w:val="00D316BA"/>
    <w:rsid w:val="00D3392B"/>
    <w:rsid w:val="00D34745"/>
    <w:rsid w:val="00D4245D"/>
    <w:rsid w:val="00D55F86"/>
    <w:rsid w:val="00D65353"/>
    <w:rsid w:val="00D919BF"/>
    <w:rsid w:val="00DC293B"/>
    <w:rsid w:val="00DC3F67"/>
    <w:rsid w:val="00DD0C1D"/>
    <w:rsid w:val="00DD76DF"/>
    <w:rsid w:val="00DE02F1"/>
    <w:rsid w:val="00DE2987"/>
    <w:rsid w:val="00E421DB"/>
    <w:rsid w:val="00E42FBA"/>
    <w:rsid w:val="00E46D53"/>
    <w:rsid w:val="00E67222"/>
    <w:rsid w:val="00E8155A"/>
    <w:rsid w:val="00E816F5"/>
    <w:rsid w:val="00E82284"/>
    <w:rsid w:val="00E879FF"/>
    <w:rsid w:val="00E95A0F"/>
    <w:rsid w:val="00EA3D6E"/>
    <w:rsid w:val="00EE7A2F"/>
    <w:rsid w:val="00F234AC"/>
    <w:rsid w:val="00F37C88"/>
    <w:rsid w:val="00F444A8"/>
    <w:rsid w:val="00F5357A"/>
    <w:rsid w:val="00F56D69"/>
    <w:rsid w:val="00F65E79"/>
    <w:rsid w:val="00F83A0B"/>
    <w:rsid w:val="00F9415B"/>
    <w:rsid w:val="00FC1677"/>
    <w:rsid w:val="00FD2903"/>
    <w:rsid w:val="00FE1291"/>
    <w:rsid w:val="00FE482B"/>
    <w:rsid w:val="00FF56AD"/>
    <w:rsid w:val="00FF7FEF"/>
    <w:rsid w:val="018D5F51"/>
    <w:rsid w:val="01EB6FEC"/>
    <w:rsid w:val="020578AC"/>
    <w:rsid w:val="02377743"/>
    <w:rsid w:val="026A609C"/>
    <w:rsid w:val="03357777"/>
    <w:rsid w:val="03DB06FE"/>
    <w:rsid w:val="046E56D3"/>
    <w:rsid w:val="049D2AC6"/>
    <w:rsid w:val="04B16B62"/>
    <w:rsid w:val="05215177"/>
    <w:rsid w:val="06106106"/>
    <w:rsid w:val="06490B74"/>
    <w:rsid w:val="06996718"/>
    <w:rsid w:val="06E52844"/>
    <w:rsid w:val="07026ACD"/>
    <w:rsid w:val="07A56637"/>
    <w:rsid w:val="07E22CE9"/>
    <w:rsid w:val="08961A5A"/>
    <w:rsid w:val="08A96CC2"/>
    <w:rsid w:val="08D03FC7"/>
    <w:rsid w:val="09C96005"/>
    <w:rsid w:val="0A0F44CD"/>
    <w:rsid w:val="0AA97A8C"/>
    <w:rsid w:val="0AF15DC1"/>
    <w:rsid w:val="0B047D48"/>
    <w:rsid w:val="0B9C5D9B"/>
    <w:rsid w:val="0BA10499"/>
    <w:rsid w:val="0BA27F6B"/>
    <w:rsid w:val="0C510FA4"/>
    <w:rsid w:val="0C9E5955"/>
    <w:rsid w:val="0D4C0E51"/>
    <w:rsid w:val="0D511F69"/>
    <w:rsid w:val="0D5A24E8"/>
    <w:rsid w:val="0DC52C23"/>
    <w:rsid w:val="0DD417A6"/>
    <w:rsid w:val="0DF70178"/>
    <w:rsid w:val="0DFC4600"/>
    <w:rsid w:val="0E3C3C0F"/>
    <w:rsid w:val="0E493C1F"/>
    <w:rsid w:val="0E966946"/>
    <w:rsid w:val="0EBF0D50"/>
    <w:rsid w:val="0EE542A1"/>
    <w:rsid w:val="0F0E3C1D"/>
    <w:rsid w:val="0F2862EC"/>
    <w:rsid w:val="0F806FD5"/>
    <w:rsid w:val="0FE53808"/>
    <w:rsid w:val="105D61FB"/>
    <w:rsid w:val="10AF5991"/>
    <w:rsid w:val="10B42A27"/>
    <w:rsid w:val="117C0D4E"/>
    <w:rsid w:val="11915461"/>
    <w:rsid w:val="11BB3DB9"/>
    <w:rsid w:val="11D21B30"/>
    <w:rsid w:val="123B658C"/>
    <w:rsid w:val="12822D5D"/>
    <w:rsid w:val="12AD4D73"/>
    <w:rsid w:val="12CD4972"/>
    <w:rsid w:val="12F94420"/>
    <w:rsid w:val="12FA2A1E"/>
    <w:rsid w:val="12FB08EA"/>
    <w:rsid w:val="131342D8"/>
    <w:rsid w:val="13B35082"/>
    <w:rsid w:val="142741A0"/>
    <w:rsid w:val="14904AC9"/>
    <w:rsid w:val="14FD2EFF"/>
    <w:rsid w:val="1503184C"/>
    <w:rsid w:val="152A1DB0"/>
    <w:rsid w:val="155D4436"/>
    <w:rsid w:val="15DF6CF7"/>
    <w:rsid w:val="1637208E"/>
    <w:rsid w:val="16457F02"/>
    <w:rsid w:val="1675525F"/>
    <w:rsid w:val="169510B8"/>
    <w:rsid w:val="16B5042D"/>
    <w:rsid w:val="16DD4AF1"/>
    <w:rsid w:val="16F92E7F"/>
    <w:rsid w:val="17485042"/>
    <w:rsid w:val="174C5C47"/>
    <w:rsid w:val="178D27B4"/>
    <w:rsid w:val="17D96B2F"/>
    <w:rsid w:val="17E1030B"/>
    <w:rsid w:val="182014A2"/>
    <w:rsid w:val="18294E04"/>
    <w:rsid w:val="1892050E"/>
    <w:rsid w:val="18D80C51"/>
    <w:rsid w:val="18EE0BF6"/>
    <w:rsid w:val="18FF0F1B"/>
    <w:rsid w:val="193A4F2C"/>
    <w:rsid w:val="198557BA"/>
    <w:rsid w:val="19AF3B39"/>
    <w:rsid w:val="19CE04CC"/>
    <w:rsid w:val="1A707A6D"/>
    <w:rsid w:val="1A7D6D25"/>
    <w:rsid w:val="1A816486"/>
    <w:rsid w:val="1A893942"/>
    <w:rsid w:val="1A907FA2"/>
    <w:rsid w:val="1AD533CC"/>
    <w:rsid w:val="1B5F5984"/>
    <w:rsid w:val="1BA64FD1"/>
    <w:rsid w:val="1BB50934"/>
    <w:rsid w:val="1BBC5A18"/>
    <w:rsid w:val="1BE97487"/>
    <w:rsid w:val="1C6357AF"/>
    <w:rsid w:val="1CAC5E2B"/>
    <w:rsid w:val="1CDE6CA8"/>
    <w:rsid w:val="1CDF5587"/>
    <w:rsid w:val="1CF10D78"/>
    <w:rsid w:val="1D023468"/>
    <w:rsid w:val="1D0736D5"/>
    <w:rsid w:val="1D5D728B"/>
    <w:rsid w:val="1D795BF8"/>
    <w:rsid w:val="1DA25A16"/>
    <w:rsid w:val="1E356AFA"/>
    <w:rsid w:val="1E724912"/>
    <w:rsid w:val="1E8F70B8"/>
    <w:rsid w:val="1E936936"/>
    <w:rsid w:val="1ED66A28"/>
    <w:rsid w:val="1F387A66"/>
    <w:rsid w:val="1F4F61EE"/>
    <w:rsid w:val="1F527064"/>
    <w:rsid w:val="20427E78"/>
    <w:rsid w:val="204A0870"/>
    <w:rsid w:val="20740963"/>
    <w:rsid w:val="20C822D8"/>
    <w:rsid w:val="21FA0627"/>
    <w:rsid w:val="220D5EC8"/>
    <w:rsid w:val="22220369"/>
    <w:rsid w:val="223431B1"/>
    <w:rsid w:val="229D5AD9"/>
    <w:rsid w:val="22A15AE0"/>
    <w:rsid w:val="22C149FC"/>
    <w:rsid w:val="22F1518B"/>
    <w:rsid w:val="2325588B"/>
    <w:rsid w:val="23827777"/>
    <w:rsid w:val="238C25BD"/>
    <w:rsid w:val="246A62AE"/>
    <w:rsid w:val="24A91031"/>
    <w:rsid w:val="2540580E"/>
    <w:rsid w:val="254A0B53"/>
    <w:rsid w:val="25665B19"/>
    <w:rsid w:val="25A847D7"/>
    <w:rsid w:val="25E72FA7"/>
    <w:rsid w:val="26037471"/>
    <w:rsid w:val="2617301F"/>
    <w:rsid w:val="273147E4"/>
    <w:rsid w:val="27487015"/>
    <w:rsid w:val="27A50231"/>
    <w:rsid w:val="28347384"/>
    <w:rsid w:val="28675B11"/>
    <w:rsid w:val="287A4275"/>
    <w:rsid w:val="28C14E5B"/>
    <w:rsid w:val="29711978"/>
    <w:rsid w:val="298634AE"/>
    <w:rsid w:val="29C17A0C"/>
    <w:rsid w:val="29EE7D1C"/>
    <w:rsid w:val="2A264DE3"/>
    <w:rsid w:val="2A567387"/>
    <w:rsid w:val="2A8C3B6B"/>
    <w:rsid w:val="2AC21136"/>
    <w:rsid w:val="2AED21E9"/>
    <w:rsid w:val="2B3649F4"/>
    <w:rsid w:val="2B4675FA"/>
    <w:rsid w:val="2B754BBC"/>
    <w:rsid w:val="2BB602C5"/>
    <w:rsid w:val="2BD85FC4"/>
    <w:rsid w:val="2BF50AB4"/>
    <w:rsid w:val="2C1C5AFD"/>
    <w:rsid w:val="2CDB7E63"/>
    <w:rsid w:val="2CFD4D5E"/>
    <w:rsid w:val="2D434FF8"/>
    <w:rsid w:val="2D5839A1"/>
    <w:rsid w:val="2DA05DCE"/>
    <w:rsid w:val="2E916360"/>
    <w:rsid w:val="2EC208DF"/>
    <w:rsid w:val="2F223C18"/>
    <w:rsid w:val="2F401A95"/>
    <w:rsid w:val="2F517C68"/>
    <w:rsid w:val="2F854CC7"/>
    <w:rsid w:val="2FDD2BC4"/>
    <w:rsid w:val="2FF679D7"/>
    <w:rsid w:val="3058472F"/>
    <w:rsid w:val="30653C55"/>
    <w:rsid w:val="307C6D47"/>
    <w:rsid w:val="309E1564"/>
    <w:rsid w:val="30B93C1E"/>
    <w:rsid w:val="30F83A0E"/>
    <w:rsid w:val="31FC49DE"/>
    <w:rsid w:val="320C78A0"/>
    <w:rsid w:val="322D4AD1"/>
    <w:rsid w:val="3235704A"/>
    <w:rsid w:val="32726967"/>
    <w:rsid w:val="327B6013"/>
    <w:rsid w:val="329A0B6A"/>
    <w:rsid w:val="329D05C7"/>
    <w:rsid w:val="32C642E9"/>
    <w:rsid w:val="32D2088E"/>
    <w:rsid w:val="32E479BE"/>
    <w:rsid w:val="332573C9"/>
    <w:rsid w:val="33F3040F"/>
    <w:rsid w:val="34854AB1"/>
    <w:rsid w:val="34A63F82"/>
    <w:rsid w:val="34BF4198"/>
    <w:rsid w:val="350A7012"/>
    <w:rsid w:val="350B2B70"/>
    <w:rsid w:val="354F1D05"/>
    <w:rsid w:val="360161F0"/>
    <w:rsid w:val="36050641"/>
    <w:rsid w:val="361F6B5B"/>
    <w:rsid w:val="36365F0F"/>
    <w:rsid w:val="365C6B3D"/>
    <w:rsid w:val="372651A6"/>
    <w:rsid w:val="379A4E61"/>
    <w:rsid w:val="37E167BB"/>
    <w:rsid w:val="382265A3"/>
    <w:rsid w:val="382E3532"/>
    <w:rsid w:val="385467B2"/>
    <w:rsid w:val="386A541B"/>
    <w:rsid w:val="386B45BC"/>
    <w:rsid w:val="38E505E8"/>
    <w:rsid w:val="39223F50"/>
    <w:rsid w:val="394C6E9C"/>
    <w:rsid w:val="39915230"/>
    <w:rsid w:val="39A47D94"/>
    <w:rsid w:val="39B533F4"/>
    <w:rsid w:val="39CD5E4B"/>
    <w:rsid w:val="3A166DB1"/>
    <w:rsid w:val="3A3D0D8B"/>
    <w:rsid w:val="3A6464DA"/>
    <w:rsid w:val="3B0D1F3F"/>
    <w:rsid w:val="3B35691C"/>
    <w:rsid w:val="3B376401"/>
    <w:rsid w:val="3B743C8E"/>
    <w:rsid w:val="3B8B78CF"/>
    <w:rsid w:val="3B965952"/>
    <w:rsid w:val="3BAC375F"/>
    <w:rsid w:val="3BC02F13"/>
    <w:rsid w:val="3C6326D0"/>
    <w:rsid w:val="3C691FB2"/>
    <w:rsid w:val="3D1957A0"/>
    <w:rsid w:val="3D3B3330"/>
    <w:rsid w:val="3D794D6C"/>
    <w:rsid w:val="3DAA3D38"/>
    <w:rsid w:val="3ED660F5"/>
    <w:rsid w:val="3F996600"/>
    <w:rsid w:val="401A73E5"/>
    <w:rsid w:val="40217FC5"/>
    <w:rsid w:val="40270632"/>
    <w:rsid w:val="402C0554"/>
    <w:rsid w:val="406E4841"/>
    <w:rsid w:val="40897331"/>
    <w:rsid w:val="41084885"/>
    <w:rsid w:val="413B574D"/>
    <w:rsid w:val="41464524"/>
    <w:rsid w:val="41637739"/>
    <w:rsid w:val="41A75327"/>
    <w:rsid w:val="41B86DE1"/>
    <w:rsid w:val="42511776"/>
    <w:rsid w:val="425C3FD4"/>
    <w:rsid w:val="42726493"/>
    <w:rsid w:val="42B0740D"/>
    <w:rsid w:val="42E079D4"/>
    <w:rsid w:val="44C2436C"/>
    <w:rsid w:val="44D90650"/>
    <w:rsid w:val="45225B34"/>
    <w:rsid w:val="454247FC"/>
    <w:rsid w:val="456B1E84"/>
    <w:rsid w:val="45937A12"/>
    <w:rsid w:val="45AB7274"/>
    <w:rsid w:val="45C2437E"/>
    <w:rsid w:val="46247283"/>
    <w:rsid w:val="464740FB"/>
    <w:rsid w:val="466B4F36"/>
    <w:rsid w:val="46945BA3"/>
    <w:rsid w:val="469C1860"/>
    <w:rsid w:val="4776261C"/>
    <w:rsid w:val="48100387"/>
    <w:rsid w:val="489F1960"/>
    <w:rsid w:val="48AD6D6F"/>
    <w:rsid w:val="48D41999"/>
    <w:rsid w:val="492F3120"/>
    <w:rsid w:val="49596754"/>
    <w:rsid w:val="49866A44"/>
    <w:rsid w:val="4A646C71"/>
    <w:rsid w:val="4A73155F"/>
    <w:rsid w:val="4A974BFD"/>
    <w:rsid w:val="4B041272"/>
    <w:rsid w:val="4B9A6CD9"/>
    <w:rsid w:val="4C4E6541"/>
    <w:rsid w:val="4C952BFA"/>
    <w:rsid w:val="4CC42E4B"/>
    <w:rsid w:val="4CD55DF0"/>
    <w:rsid w:val="4D632474"/>
    <w:rsid w:val="4DA41B7F"/>
    <w:rsid w:val="4DD114BA"/>
    <w:rsid w:val="4DED30E6"/>
    <w:rsid w:val="4E006899"/>
    <w:rsid w:val="4E4604CC"/>
    <w:rsid w:val="4E6B607B"/>
    <w:rsid w:val="4E7E67D5"/>
    <w:rsid w:val="4E834167"/>
    <w:rsid w:val="4EE704C2"/>
    <w:rsid w:val="4EF43FC8"/>
    <w:rsid w:val="4F3B240C"/>
    <w:rsid w:val="500E145A"/>
    <w:rsid w:val="500E49CD"/>
    <w:rsid w:val="500F1CD5"/>
    <w:rsid w:val="508558A6"/>
    <w:rsid w:val="50F30A3E"/>
    <w:rsid w:val="511D25A1"/>
    <w:rsid w:val="51275B0E"/>
    <w:rsid w:val="5143646D"/>
    <w:rsid w:val="51695710"/>
    <w:rsid w:val="51A36407"/>
    <w:rsid w:val="51D60B75"/>
    <w:rsid w:val="51D91B25"/>
    <w:rsid w:val="5202225E"/>
    <w:rsid w:val="521557F3"/>
    <w:rsid w:val="52C77658"/>
    <w:rsid w:val="52DB0D77"/>
    <w:rsid w:val="52DD2582"/>
    <w:rsid w:val="52F7312C"/>
    <w:rsid w:val="531371D9"/>
    <w:rsid w:val="53593246"/>
    <w:rsid w:val="53BF0718"/>
    <w:rsid w:val="54235091"/>
    <w:rsid w:val="56104C57"/>
    <w:rsid w:val="56444969"/>
    <w:rsid w:val="56516960"/>
    <w:rsid w:val="57001C20"/>
    <w:rsid w:val="57176092"/>
    <w:rsid w:val="571A263A"/>
    <w:rsid w:val="57262273"/>
    <w:rsid w:val="575C7B62"/>
    <w:rsid w:val="57DD0263"/>
    <w:rsid w:val="58083A83"/>
    <w:rsid w:val="581B10FA"/>
    <w:rsid w:val="582156EE"/>
    <w:rsid w:val="58427747"/>
    <w:rsid w:val="58B94C78"/>
    <w:rsid w:val="58BB4CDB"/>
    <w:rsid w:val="58F96B51"/>
    <w:rsid w:val="595B34EE"/>
    <w:rsid w:val="59AD702D"/>
    <w:rsid w:val="59D14CC4"/>
    <w:rsid w:val="59EF730D"/>
    <w:rsid w:val="59FF73A2"/>
    <w:rsid w:val="5A945937"/>
    <w:rsid w:val="5AA340C2"/>
    <w:rsid w:val="5AB6501F"/>
    <w:rsid w:val="5AFA737C"/>
    <w:rsid w:val="5B786518"/>
    <w:rsid w:val="5B9E1D5B"/>
    <w:rsid w:val="5BCB323C"/>
    <w:rsid w:val="5C8B6572"/>
    <w:rsid w:val="5CC83D65"/>
    <w:rsid w:val="5D790E7F"/>
    <w:rsid w:val="5DC24B3C"/>
    <w:rsid w:val="5DC63A4E"/>
    <w:rsid w:val="5DED53D1"/>
    <w:rsid w:val="5DFA1B40"/>
    <w:rsid w:val="5E1B7959"/>
    <w:rsid w:val="5E870BD3"/>
    <w:rsid w:val="5EAD142E"/>
    <w:rsid w:val="5EEF5563"/>
    <w:rsid w:val="5EF76013"/>
    <w:rsid w:val="5EFE5A8B"/>
    <w:rsid w:val="5F3F3BFD"/>
    <w:rsid w:val="5F7071A8"/>
    <w:rsid w:val="5FC6181B"/>
    <w:rsid w:val="60066955"/>
    <w:rsid w:val="601211DC"/>
    <w:rsid w:val="60292197"/>
    <w:rsid w:val="6075080B"/>
    <w:rsid w:val="610C5CC5"/>
    <w:rsid w:val="612829F8"/>
    <w:rsid w:val="619A0DA9"/>
    <w:rsid w:val="61C43619"/>
    <w:rsid w:val="6210426E"/>
    <w:rsid w:val="62126C3A"/>
    <w:rsid w:val="62325267"/>
    <w:rsid w:val="63510BEE"/>
    <w:rsid w:val="637E758B"/>
    <w:rsid w:val="638119A8"/>
    <w:rsid w:val="642D51FD"/>
    <w:rsid w:val="64312382"/>
    <w:rsid w:val="644E4B1D"/>
    <w:rsid w:val="64651B49"/>
    <w:rsid w:val="648C2CC5"/>
    <w:rsid w:val="64A11C37"/>
    <w:rsid w:val="64A55F1E"/>
    <w:rsid w:val="652C5EC9"/>
    <w:rsid w:val="65353764"/>
    <w:rsid w:val="65354E1B"/>
    <w:rsid w:val="657171FE"/>
    <w:rsid w:val="65A46AEA"/>
    <w:rsid w:val="65EC5F0A"/>
    <w:rsid w:val="66AA0200"/>
    <w:rsid w:val="66EC4D96"/>
    <w:rsid w:val="6736101B"/>
    <w:rsid w:val="680A512A"/>
    <w:rsid w:val="68370C8B"/>
    <w:rsid w:val="68370CCC"/>
    <w:rsid w:val="684D7DEF"/>
    <w:rsid w:val="68585ADF"/>
    <w:rsid w:val="68A77809"/>
    <w:rsid w:val="68C94029"/>
    <w:rsid w:val="695217DC"/>
    <w:rsid w:val="69923628"/>
    <w:rsid w:val="69C37032"/>
    <w:rsid w:val="6A2C55E6"/>
    <w:rsid w:val="6AB14817"/>
    <w:rsid w:val="6AF117A1"/>
    <w:rsid w:val="6AFC54E5"/>
    <w:rsid w:val="6B2F26F6"/>
    <w:rsid w:val="6B6A3020"/>
    <w:rsid w:val="6B895F90"/>
    <w:rsid w:val="6BD916EE"/>
    <w:rsid w:val="6C394055"/>
    <w:rsid w:val="6CCA1A7F"/>
    <w:rsid w:val="6DD3641A"/>
    <w:rsid w:val="6E035291"/>
    <w:rsid w:val="6E1206A4"/>
    <w:rsid w:val="6E5A3D7E"/>
    <w:rsid w:val="6E8354DD"/>
    <w:rsid w:val="6F961B22"/>
    <w:rsid w:val="6FDB28A3"/>
    <w:rsid w:val="6FE32ACC"/>
    <w:rsid w:val="703933A1"/>
    <w:rsid w:val="70AA0758"/>
    <w:rsid w:val="70B61502"/>
    <w:rsid w:val="70CE17C7"/>
    <w:rsid w:val="70F5166C"/>
    <w:rsid w:val="71981EC0"/>
    <w:rsid w:val="71EF5ACB"/>
    <w:rsid w:val="72145BFB"/>
    <w:rsid w:val="722B706A"/>
    <w:rsid w:val="723369CC"/>
    <w:rsid w:val="723B233B"/>
    <w:rsid w:val="724F5D5C"/>
    <w:rsid w:val="72595DB6"/>
    <w:rsid w:val="728E0A16"/>
    <w:rsid w:val="729371FE"/>
    <w:rsid w:val="72B43388"/>
    <w:rsid w:val="72C43ABF"/>
    <w:rsid w:val="72E929DE"/>
    <w:rsid w:val="72EF2B1D"/>
    <w:rsid w:val="738D015F"/>
    <w:rsid w:val="73990B03"/>
    <w:rsid w:val="745751F5"/>
    <w:rsid w:val="74892FD1"/>
    <w:rsid w:val="74BF749C"/>
    <w:rsid w:val="74FB18F9"/>
    <w:rsid w:val="75616560"/>
    <w:rsid w:val="75E066F3"/>
    <w:rsid w:val="75E158E8"/>
    <w:rsid w:val="75F80517"/>
    <w:rsid w:val="762D67F3"/>
    <w:rsid w:val="76C57715"/>
    <w:rsid w:val="76E13D18"/>
    <w:rsid w:val="771479EA"/>
    <w:rsid w:val="771C35A1"/>
    <w:rsid w:val="772E2FCD"/>
    <w:rsid w:val="77777A8E"/>
    <w:rsid w:val="778434A7"/>
    <w:rsid w:val="77A03719"/>
    <w:rsid w:val="77C20E07"/>
    <w:rsid w:val="78223427"/>
    <w:rsid w:val="789923C9"/>
    <w:rsid w:val="78A4259B"/>
    <w:rsid w:val="78C31CAF"/>
    <w:rsid w:val="78CE6E70"/>
    <w:rsid w:val="78FC6178"/>
    <w:rsid w:val="79194C3C"/>
    <w:rsid w:val="795B3486"/>
    <w:rsid w:val="799A583E"/>
    <w:rsid w:val="79B75ECC"/>
    <w:rsid w:val="79BE0D1A"/>
    <w:rsid w:val="79E45FD6"/>
    <w:rsid w:val="7A434AE5"/>
    <w:rsid w:val="7A52270E"/>
    <w:rsid w:val="7AD0105B"/>
    <w:rsid w:val="7AF92581"/>
    <w:rsid w:val="7B044A15"/>
    <w:rsid w:val="7B170E00"/>
    <w:rsid w:val="7B3057E8"/>
    <w:rsid w:val="7B471A04"/>
    <w:rsid w:val="7B655D19"/>
    <w:rsid w:val="7B8B6C3F"/>
    <w:rsid w:val="7C4B18EE"/>
    <w:rsid w:val="7C5D4B0A"/>
    <w:rsid w:val="7C721F5F"/>
    <w:rsid w:val="7C7D36C4"/>
    <w:rsid w:val="7D197A3B"/>
    <w:rsid w:val="7D1F7EDB"/>
    <w:rsid w:val="7D3707EB"/>
    <w:rsid w:val="7DAC4B36"/>
    <w:rsid w:val="7E431677"/>
    <w:rsid w:val="7E5572E2"/>
    <w:rsid w:val="7E9A3A0C"/>
    <w:rsid w:val="7EA65F0F"/>
    <w:rsid w:val="7ED67996"/>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20</Pages>
  <Words>3016</Words>
  <Characters>17195</Characters>
  <Lines>143</Lines>
  <Paragraphs>40</Paragraphs>
  <TotalTime>29</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2022-12-28T12:33:00Z</dcterms:created>
  <dc:creator>ylh</dc:creator>
  <cp:keywords>新版;22-12-28</cp:keywords>
  <cp:lastModifiedBy>张玲榕</cp:lastModifiedBy>
  <dcterms:modified xsi:type="dcterms:W3CDTF">2025-07-10T11:22:38Z</dcterms:modified>
  <dc:title>华夏理财固定收益纯债最短持有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5F3C34035F134518BCB8B1E2D8827987</vt:lpwstr>
  </property>
</Properties>
</file>