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widowControl/>
        <w:spacing w:line="240" w:lineRule="auto"/>
        <w:ind w:firstLine="0"/>
        <w:jc w:val="center"/>
        <w:rPr>
          <w:rFonts w:eastAsia="黑体"/>
          <w:bCs/>
          <w:sz w:val="36"/>
          <w:szCs w:val="36"/>
        </w:rPr>
      </w:pPr>
      <w:r>
        <w:rPr>
          <w:rFonts w:hint="eastAsia" w:eastAsia="黑体"/>
          <w:bCs/>
          <w:sz w:val="36"/>
          <w:szCs w:val="36"/>
        </w:rPr>
        <w:t>华夏理财固定收益增强型封闭式理财产品</w:t>
      </w:r>
      <w:r>
        <w:rPr>
          <w:rFonts w:hint="eastAsia" w:eastAsia="黑体"/>
          <w:bCs/>
          <w:sz w:val="36"/>
          <w:szCs w:val="36"/>
          <w:lang w:val="en-US" w:eastAsia="zh-CN"/>
        </w:rPr>
        <w:t>231号</w:t>
      </w:r>
    </w:p>
    <w:p>
      <w:pPr>
        <w:pStyle w:val="3"/>
        <w:widowControl/>
        <w:spacing w:line="240" w:lineRule="auto"/>
        <w:ind w:firstLine="0"/>
        <w:jc w:val="center"/>
        <w:rPr>
          <w:rFonts w:eastAsia="黑体"/>
          <w:bCs/>
          <w:sz w:val="36"/>
          <w:szCs w:val="36"/>
        </w:rPr>
      </w:pPr>
      <w:r>
        <w:rPr>
          <w:rFonts w:hint="eastAsia" w:eastAsia="黑体"/>
          <w:bCs/>
          <w:sz w:val="36"/>
          <w:szCs w:val="36"/>
        </w:rPr>
        <w:t>说明书</w:t>
      </w:r>
    </w:p>
    <w:tbl>
      <w:tblPr>
        <w:tblStyle w:val="8"/>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不能申购、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如有)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华夏理财客户服务热线4001795577或其他代理销售机构客户服务热线</w:t>
            </w:r>
            <w:bookmarkEnd w:id="0"/>
            <w:r>
              <w:rPr>
                <w:rFonts w:hint="eastAsia" w:ascii="黑体" w:hAnsi="黑体" w:eastAsia="黑体"/>
                <w:b/>
                <w:sz w:val="28"/>
                <w:szCs w:val="28"/>
                <w:u w:val="single"/>
              </w:rPr>
              <w:t>。</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lang w:val="en-US" w:eastAsia="zh-CN"/>
              </w:rPr>
              <w:t>五</w:t>
            </w:r>
            <w:r>
              <w:rPr>
                <w:rFonts w:hint="eastAsia" w:ascii="黑体" w:hAnsi="黑体" w:eastAsia="黑体"/>
                <w:b/>
                <w:sz w:val="28"/>
                <w:szCs w:val="28"/>
                <w:u w:val="single"/>
              </w:rPr>
              <w:t>、本说明书在法律许可的范围内由华夏理财方负责解释。</w:t>
            </w:r>
          </w:p>
        </w:tc>
      </w:tr>
    </w:tbl>
    <w:p>
      <w:pPr>
        <w:pStyle w:val="11"/>
        <w:keepNext w:val="0"/>
        <w:snapToGrid w:val="0"/>
        <w:spacing w:before="0" w:beforeLines="-2147483648" w:after="156" w:afterLines="50" w:line="400" w:lineRule="exact"/>
        <w:ind w:firstLine="0" w:firstLineChars="0"/>
        <w:jc w:val="both"/>
        <w:outlineLvl w:val="9"/>
        <w:rPr>
          <w:rFonts w:hint="eastAsia" w:ascii="Times New Roman" w:eastAsia="黑体" w:cs="Times New Roman"/>
          <w:b/>
          <w:color w:val="auto"/>
        </w:rPr>
      </w:pPr>
    </w:p>
    <w:p>
      <w:pPr>
        <w:pStyle w:val="11"/>
        <w:keepNext w:val="0"/>
        <w:snapToGrid w:val="0"/>
        <w:spacing w:before="0" w:beforeLines="-2147483648" w:after="156" w:afterLines="50" w:line="400" w:lineRule="exact"/>
        <w:ind w:firstLine="0" w:firstLineChars="0"/>
        <w:jc w:val="both"/>
        <w:outlineLvl w:val="9"/>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8"/>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
                <w:bCs/>
                <w:szCs w:val="21"/>
                <w:lang w:eastAsia="zh-CN"/>
              </w:rPr>
            </w:pPr>
            <w:r>
              <w:rPr>
                <w:rFonts w:hint="eastAsia" w:ascii="仿宋" w:hAnsi="仿宋" w:eastAsia="仿宋"/>
                <w:b/>
                <w:bCs/>
                <w:szCs w:val="21"/>
              </w:rPr>
              <w:t>华夏理财固定收益增强型封闭式理财产品</w:t>
            </w:r>
            <w:r>
              <w:rPr>
                <w:rFonts w:hint="eastAsia" w:ascii="仿宋" w:hAnsi="仿宋" w:eastAsia="仿宋"/>
                <w:b/>
                <w:bCs/>
                <w:szCs w:val="21"/>
                <w:lang w:val="en-US" w:eastAsia="zh-CN"/>
              </w:rPr>
              <w:t>231</w:t>
            </w:r>
            <w:r>
              <w:rPr>
                <w:rFonts w:hint="eastAsia" w:ascii="仿宋" w:hAnsi="仿宋" w:eastAsia="仿宋"/>
                <w:b/>
                <w:bCs/>
                <w:szCs w:val="21"/>
                <w:lang w:eastAsia="zh-CN"/>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简称：“华夏理财固收增强封闭式</w:t>
            </w:r>
            <w:r>
              <w:rPr>
                <w:rFonts w:hint="eastAsia" w:ascii="仿宋" w:hAnsi="仿宋" w:eastAsia="仿宋"/>
                <w:b/>
                <w:bCs/>
                <w:szCs w:val="21"/>
                <w:lang w:val="en-US" w:eastAsia="zh-CN"/>
              </w:rPr>
              <w:t>231</w:t>
            </w:r>
            <w:r>
              <w:rPr>
                <w:rFonts w:hint="eastAsia" w:ascii="仿宋" w:hAnsi="仿宋" w:eastAsia="仿宋"/>
                <w:b/>
                <w:bCs/>
                <w:szCs w:val="21"/>
                <w:lang w:eastAsia="zh-CN"/>
              </w:rPr>
              <w:t>号</w:t>
            </w:r>
            <w:r>
              <w:rPr>
                <w:rFonts w:hint="eastAsia" w:ascii="仿宋" w:hAnsi="仿宋" w:eastAsia="仿宋"/>
                <w:b/>
                <w:bCs/>
                <w:szCs w:val="21"/>
                <w:lang w:val="en-US" w:eastAsia="zh-CN"/>
              </w:rPr>
              <w:t>393</w:t>
            </w:r>
            <w:r>
              <w:rPr>
                <w:rFonts w:hint="eastAsia" w:ascii="仿宋" w:hAnsi="仿宋" w:eastAsia="仿宋"/>
                <w:b/>
                <w:bCs/>
                <w:szCs w:val="21"/>
                <w:lang w:eastAsia="zh-CN"/>
              </w:rPr>
              <w:t>天（</w:t>
            </w:r>
            <w:r>
              <w:rPr>
                <w:rFonts w:hint="eastAsia" w:ascii="仿宋" w:hAnsi="仿宋" w:eastAsia="仿宋"/>
                <w:b/>
                <w:bCs/>
                <w:szCs w:val="21"/>
                <w:lang w:val="en-US" w:eastAsia="zh-CN"/>
              </w:rPr>
              <w:t>京华三号</w:t>
            </w:r>
            <w:r>
              <w:rPr>
                <w:rFonts w:hint="eastAsia" w:ascii="仿宋" w:hAnsi="仿宋" w:eastAsia="仿宋"/>
                <w:b/>
                <w:bCs/>
                <w:szCs w:val="21"/>
                <w:lang w:eastAsia="zh-CN"/>
              </w:rPr>
              <w:t>）</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25311</w:t>
            </w:r>
            <w:r>
              <w:rPr>
                <w:rFonts w:hint="eastAsia" w:ascii="仿宋" w:hAnsi="仿宋" w:eastAsia="仿宋"/>
                <w:bCs/>
                <w:szCs w:val="21"/>
                <w:lang w:val="en-US" w:eastAsia="zh-CN"/>
              </w:rPr>
              <w:t>020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default" w:ascii="仿宋" w:hAnsi="仿宋" w:eastAsia="仿宋"/>
                <w:bCs/>
                <w:szCs w:val="21"/>
                <w:lang w:val="en-US" w:eastAsia="zh-CN"/>
              </w:rPr>
            </w:pPr>
            <w:r>
              <w:rPr>
                <w:rFonts w:hint="eastAsia" w:ascii="仿宋" w:hAnsi="仿宋" w:eastAsia="仿宋"/>
                <w:bCs/>
                <w:szCs w:val="21"/>
              </w:rPr>
              <w:t>Z700392500</w:t>
            </w:r>
            <w:r>
              <w:rPr>
                <w:rFonts w:hint="eastAsia" w:ascii="仿宋" w:hAnsi="仿宋" w:eastAsia="仿宋"/>
                <w:bCs/>
                <w:szCs w:val="21"/>
                <w:lang w:val="en-US" w:eastAsia="zh-CN"/>
              </w:rPr>
              <w:t>1278</w:t>
            </w:r>
          </w:p>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
                <w:bCs/>
                <w:szCs w:val="21"/>
              </w:rPr>
            </w:pPr>
            <w:r>
              <w:rPr>
                <w:rFonts w:hint="eastAsia" w:ascii="仿宋" w:hAnsi="仿宋" w:eastAsia="仿宋"/>
                <w:bCs/>
                <w:szCs w:val="21"/>
              </w:rPr>
              <w:t>本理财产品通过代理销售机构（以下简称“代销机构”）渠道销售的，理财产品评级应当以</w:t>
            </w:r>
            <w:bookmarkStart w:id="1" w:name="_Hlk76302700"/>
            <w:r>
              <w:rPr>
                <w:rFonts w:hint="eastAsia" w:ascii="仿宋" w:hAnsi="仿宋" w:eastAsia="仿宋"/>
                <w:bCs/>
                <w:szCs w:val="21"/>
              </w:rPr>
              <w:t>代销机构最终披露的评级结果</w:t>
            </w:r>
            <w:bookmarkEnd w:id="1"/>
            <w:r>
              <w:rPr>
                <w:rFonts w:hint="eastAsia" w:ascii="仿宋" w:hAnsi="仿宋" w:eastAsia="仿宋"/>
                <w:bCs/>
                <w:szCs w:val="21"/>
              </w:rPr>
              <w:t>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bookmarkStart w:id="7" w:name="_GoBack"/>
            <w:r>
              <w:rPr>
                <w:rFonts w:hint="eastAsia" w:ascii="仿宋" w:hAnsi="仿宋" w:eastAsia="仿宋"/>
                <w:bCs/>
                <w:szCs w:val="21"/>
                <w:lang w:val="en-US" w:eastAsia="zh-CN"/>
              </w:rPr>
              <w:t>机构</w:t>
            </w:r>
            <w:r>
              <w:rPr>
                <w:rFonts w:hint="eastAsia" w:ascii="仿宋" w:hAnsi="仿宋" w:eastAsia="仿宋"/>
                <w:bCs/>
                <w:szCs w:val="21"/>
              </w:rPr>
              <w:t>投资</w:t>
            </w:r>
            <w:r>
              <w:rPr>
                <w:rFonts w:ascii="仿宋" w:hAnsi="仿宋" w:eastAsia="仿宋"/>
                <w:bCs/>
                <w:szCs w:val="21"/>
              </w:rPr>
              <w:t>者</w:t>
            </w:r>
            <w:bookmarkEnd w:id="7"/>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rPr>
                <w:rFonts w:hint="eastAsia" w:ascii="仿宋" w:hAnsi="仿宋" w:eastAsia="仿宋"/>
                <w:b/>
                <w:bCs/>
                <w:szCs w:val="21"/>
              </w:rPr>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p>
            <w:pPr>
              <w:adjustRightInd w:val="0"/>
              <w:snapToGrid w:val="0"/>
              <w:spacing w:line="300" w:lineRule="exact"/>
              <w:ind w:firstLine="420" w:firstLineChars="200"/>
              <w:rPr>
                <w:rFonts w:hint="eastAsia" w:ascii="仿宋" w:hAnsi="仿宋" w:eastAsia="仿宋"/>
                <w:b/>
                <w:bCs/>
                <w:szCs w:val="21"/>
              </w:rPr>
            </w:pPr>
            <w:r>
              <w:rPr>
                <w:rFonts w:hint="eastAsia" w:ascii="仿宋" w:hAnsi="仿宋" w:eastAsia="仿宋"/>
                <w:b w:val="0"/>
                <w:bCs w:val="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w:t>
            </w:r>
            <w:r>
              <w:rPr>
                <w:rFonts w:hint="eastAsia" w:ascii="仿宋" w:hAnsi="仿宋" w:eastAsia="仿宋"/>
                <w:bCs/>
                <w:szCs w:val="21"/>
              </w:rPr>
              <w:t>比较</w:t>
            </w:r>
            <w:r>
              <w:rPr>
                <w:rFonts w:hint="eastAsia" w:ascii="仿宋" w:hAnsi="仿宋" w:eastAsia="仿宋" w:cs="Cambria"/>
                <w:bCs/>
                <w:szCs w:val="21"/>
              </w:rPr>
              <w:t>基准为</w:t>
            </w:r>
            <w:r>
              <w:rPr>
                <w:rFonts w:hint="eastAsia" w:ascii="仿宋" w:hAnsi="仿宋" w:eastAsia="仿宋" w:cs="Cambria"/>
                <w:bCs/>
                <w:szCs w:val="21"/>
                <w:lang w:val="en-US" w:eastAsia="zh-CN"/>
              </w:rPr>
              <w:t>2.40%-2.80%</w:t>
            </w:r>
            <w:r>
              <w:rPr>
                <w:rFonts w:hint="eastAsia" w:ascii="仿宋" w:hAnsi="仿宋" w:eastAsia="仿宋" w:cs="Cambria"/>
                <w:bCs/>
                <w:szCs w:val="21"/>
              </w:rPr>
              <w:t>（年化）。以产品投资于债券类资产仓位60%-100%，非标债权类资产仓位0%-45%，权益类资产仓位0%-</w:t>
            </w:r>
            <w:r>
              <w:rPr>
                <w:rFonts w:hint="eastAsia" w:ascii="仿宋" w:hAnsi="仿宋" w:eastAsia="仿宋" w:cs="Cambria"/>
                <w:bCs/>
                <w:szCs w:val="21"/>
                <w:lang w:val="en-US" w:eastAsia="zh-CN"/>
              </w:rPr>
              <w:t>20</w:t>
            </w:r>
            <w:r>
              <w:rPr>
                <w:rFonts w:hint="eastAsia" w:ascii="仿宋" w:hAnsi="仿宋" w:eastAsia="仿宋" w:cs="Cambria"/>
                <w:bCs/>
                <w:szCs w:val="21"/>
              </w:rPr>
              <w:t>%，组合杠杆率100%-14</w:t>
            </w:r>
            <w:r>
              <w:rPr>
                <w:rFonts w:hint="eastAsia" w:ascii="仿宋" w:hAnsi="仿宋" w:eastAsia="仿宋" w:cs="Cambria"/>
                <w:bCs/>
                <w:szCs w:val="21"/>
                <w:lang w:val="en-US" w:eastAsia="zh-CN"/>
              </w:rPr>
              <w:t>0</w:t>
            </w:r>
            <w:r>
              <w:rPr>
                <w:rFonts w:hint="eastAsia" w:ascii="仿宋" w:hAnsi="仿宋" w:eastAsia="仿宋" w:cs="Cambria"/>
                <w:bCs/>
                <w:szCs w:val="21"/>
              </w:rPr>
              <w:t>%为例，参考当前债券类资产收益率、非标债权类资产目标收益率、Wind混合型基金总指数，结合产品投资策略并扣除各项费用后，综合测算得出上述业绩比较基准。测算示例仅供参考，具体资产投资比例可根据各类资产的收益率，波动性特征，信用风险等因素动态调整。</w:t>
            </w:r>
          </w:p>
          <w:p>
            <w:pPr>
              <w:adjustRightInd w:val="0"/>
              <w:snapToGrid w:val="0"/>
              <w:spacing w:line="240" w:lineRule="atLeast"/>
              <w:ind w:firstLine="420" w:firstLineChars="200"/>
              <w:rPr>
                <w:rFonts w:hint="eastAsia" w:ascii="仿宋" w:hAnsi="仿宋" w:eastAsia="仿宋" w:cs="Cambria"/>
                <w:b/>
                <w:bCs/>
                <w:szCs w:val="21"/>
              </w:rPr>
            </w:pPr>
            <w:r>
              <w:rPr>
                <w:rFonts w:hint="eastAsia" w:ascii="仿宋" w:hAnsi="仿宋" w:eastAsia="仿宋" w:cs="Cambria"/>
                <w:bCs/>
                <w:szCs w:val="21"/>
              </w:rPr>
              <w:t>业绩比较基准是管理人基于产品性质、投资策略、过往经验等因素对产品设定的投资目标，</w:t>
            </w:r>
            <w:r>
              <w:rPr>
                <w:rFonts w:hint="eastAsia" w:ascii="仿宋" w:hAnsi="仿宋" w:eastAsia="仿宋" w:cs="Cambria"/>
                <w:bCs/>
                <w:szCs w:val="21"/>
                <w:lang w:val="en-US" w:eastAsia="zh-CN"/>
              </w:rPr>
              <w:t>不是预期收益率，</w:t>
            </w:r>
            <w:r>
              <w:rPr>
                <w:rFonts w:hint="eastAsia" w:ascii="仿宋" w:hAnsi="仿宋" w:eastAsia="仿宋" w:cs="Cambria"/>
                <w:bCs/>
                <w:szCs w:val="21"/>
              </w:rPr>
              <w:t>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3.理财产品过往业绩不代表其未来表现，不等于理财产品实际收益，不构成对产品收益的承诺，投资须谨慎。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bookmarkStart w:id="2" w:name="OLE_LINK3" w:colFirst="1" w:colLast="1"/>
            <w:bookmarkStart w:id="3" w:name="OLE_LINK2" w:colFirst="1" w:colLast="1"/>
            <w:bookmarkStart w:id="4"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w:t>
            </w:r>
            <w:r>
              <w:rPr>
                <w:rFonts w:hint="eastAsia" w:ascii="仿宋" w:hAnsi="仿宋" w:eastAsia="仿宋"/>
                <w:bCs/>
                <w:szCs w:val="21"/>
              </w:rPr>
              <w:t>月</w:t>
            </w:r>
            <w:r>
              <w:rPr>
                <w:rFonts w:hint="eastAsia" w:ascii="仿宋" w:hAnsi="仿宋" w:eastAsia="仿宋"/>
                <w:bCs/>
                <w:szCs w:val="21"/>
                <w:lang w:val="en-US" w:eastAsia="zh-CN"/>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2"/>
      <w:bookmarkEnd w:id="3"/>
      <w:bookmarkEnd w:id="4"/>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10月21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lang w:val="en-US" w:eastAsia="zh-CN"/>
              </w:rPr>
              <w:t>393天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202</w:t>
            </w:r>
            <w:r>
              <w:rPr>
                <w:rFonts w:hint="eastAsia" w:ascii="仿宋" w:hAnsi="仿宋" w:eastAsia="仿宋"/>
                <w:bCs/>
                <w:szCs w:val="21"/>
                <w:lang w:val="en-US" w:eastAsia="zh-CN"/>
              </w:rPr>
              <w:t>6</w:t>
            </w:r>
            <w:r>
              <w:rPr>
                <w:rFonts w:hint="eastAsia" w:ascii="仿宋" w:hAnsi="仿宋" w:eastAsia="仿宋"/>
                <w:bCs/>
                <w:szCs w:val="21"/>
              </w:rPr>
              <w:t>年</w:t>
            </w:r>
            <w:r>
              <w:rPr>
                <w:rFonts w:hint="eastAsia" w:ascii="仿宋" w:hAnsi="仿宋" w:eastAsia="仿宋"/>
                <w:bCs/>
                <w:szCs w:val="21"/>
                <w:lang w:val="en-US" w:eastAsia="zh-CN"/>
              </w:rPr>
              <w:t>11</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keepNext/>
              <w:adjustRightInd w:val="0"/>
              <w:snapToGrid w:val="0"/>
              <w:spacing w:line="300" w:lineRule="exact"/>
              <w:ind w:firstLine="422" w:firstLineChars="200"/>
              <w:rPr>
                <w:rFonts w:ascii="仿宋" w:hAnsi="仿宋" w:eastAsia="仿宋"/>
                <w:bCs/>
                <w:szCs w:val="21"/>
              </w:rPr>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lang w:val="en-US" w:eastAsia="zh-CN"/>
              </w:rPr>
              <w:t>1</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1元，以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rPr>
            </w:pPr>
            <w:r>
              <w:rPr>
                <w:rFonts w:hint="eastAsia" w:ascii="仿宋" w:hAnsi="仿宋" w:eastAsia="仿宋"/>
              </w:rPr>
              <w:t>如代销机构规定与本规则不一致的，则以各代销机构规定为准，但不得低于本起点金额。</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lang w:val="en-US" w:eastAsia="zh-CN"/>
              </w:rPr>
            </w:pPr>
            <w:r>
              <w:rPr>
                <w:rFonts w:hint="eastAsia" w:ascii="仿宋" w:hAnsi="仿宋" w:eastAsia="仿宋"/>
                <w:lang w:val="en-US" w:eastAsia="zh-CN"/>
              </w:rPr>
              <w:t>不限。</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tabs>
                <w:tab w:val="left" w:pos="720"/>
              </w:tabs>
              <w:autoSpaceDE w:val="0"/>
              <w:autoSpaceDN w:val="0"/>
              <w:adjustRightInd w:val="0"/>
              <w:snapToGrid w:val="0"/>
              <w:spacing w:line="240" w:lineRule="atLeast"/>
              <w:ind w:right="18" w:firstLine="420" w:firstLineChars="200"/>
              <w:rPr>
                <w:rFonts w:ascii="仿宋" w:hAnsi="仿宋" w:eastAsia="仿宋"/>
                <w:b/>
                <w:bCs/>
                <w:szCs w:val="21"/>
              </w:rPr>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w:t>
            </w:r>
            <w:r>
              <w:rPr>
                <w:rFonts w:ascii="仿宋" w:hAnsi="仿宋" w:eastAsia="仿宋"/>
                <w:bCs/>
                <w:szCs w:val="21"/>
              </w:rPr>
              <w:t xml:space="preserve"> </w:t>
            </w:r>
            <w:r>
              <w:rPr>
                <w:rFonts w:hint="eastAsia" w:ascii="仿宋" w:hAnsi="仿宋" w:eastAsia="仿宋"/>
                <w:bCs/>
                <w:szCs w:val="21"/>
                <w:lang w:val="en-US" w:eastAsia="zh-CN"/>
              </w:rPr>
              <w:t>3</w:t>
            </w:r>
            <w:r>
              <w:rPr>
                <w:rFonts w:ascii="仿宋" w:hAnsi="仿宋" w:eastAsia="仿宋"/>
                <w:bCs/>
                <w:szCs w:val="21"/>
              </w:rPr>
              <w:t xml:space="preserve"> </w:t>
            </w:r>
            <w:r>
              <w:rPr>
                <w:rFonts w:hint="eastAsia" w:ascii="仿宋" w:hAnsi="仿宋" w:eastAsia="仿宋"/>
                <w:bCs/>
                <w:szCs w:val="21"/>
              </w:rPr>
              <w:t>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left="105" w:leftChars="50" w:firstLine="315" w:firstLineChars="15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通过代销机构认购的，撤销规定以代销机构规定为准。</w:t>
            </w:r>
            <w:r>
              <w:rPr>
                <w:rFonts w:hint="eastAsia" w:ascii="仿宋" w:hAnsi="仿宋" w:eastAsia="仿宋"/>
                <w:bCs/>
                <w:szCs w:val="21"/>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bCs/>
                <w:szCs w:val="21"/>
              </w:rPr>
            </w:pPr>
            <w:r>
              <w:rPr>
                <w:rFonts w:hint="eastAsia" w:ascii="仿宋" w:hAnsi="仿宋" w:eastAsia="仿宋"/>
                <w:b/>
                <w:bCs w:val="0"/>
                <w:szCs w:val="21"/>
              </w:rPr>
              <w:t>本理财产品不收取认购费。</w:t>
            </w:r>
            <w:r>
              <w:rPr>
                <w:rFonts w:hint="eastAsia" w:ascii="仿宋" w:hAnsi="仿宋" w:eastAsia="仿宋"/>
                <w:b/>
                <w:bCs w:val="0"/>
                <w:szCs w:val="21"/>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rFonts w:ascii="仿宋" w:hAnsi="仿宋" w:eastAsia="仿宋"/>
                <w:bCs/>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p>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rFonts w:ascii="仿宋" w:hAnsi="仿宋" w:eastAsia="仿宋"/>
                <w:b/>
                <w:bCs w:val="0"/>
                <w:szCs w:val="21"/>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20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超额计提基准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本</w:t>
            </w:r>
            <w:r>
              <w:rPr>
                <w:rFonts w:hint="eastAsia" w:ascii="仿宋" w:hAnsi="仿宋" w:eastAsia="仿宋"/>
                <w:b/>
                <w:bCs w:val="0"/>
                <w:szCs w:val="21"/>
                <w:lang w:val="en-US" w:eastAsia="zh-CN"/>
              </w:rPr>
              <w:t>理财</w:t>
            </w:r>
            <w:r>
              <w:rPr>
                <w:rFonts w:hint="eastAsia" w:ascii="仿宋" w:hAnsi="仿宋" w:eastAsia="仿宋"/>
                <w:b/>
                <w:bCs w:val="0"/>
                <w:szCs w:val="21"/>
              </w:rPr>
              <w:t>产品扣除各项费用（包括销售手续费、托管费、固定管理费及其他费用等）后，年化收益率低于或等于超额计提基准，则管理人不收取超额管理费；超过超额计提基准的部分，</w:t>
            </w:r>
            <w:r>
              <w:rPr>
                <w:rFonts w:hint="eastAsia" w:ascii="仿宋" w:hAnsi="仿宋" w:eastAsia="仿宋"/>
                <w:b/>
                <w:bCs w:val="0"/>
                <w:szCs w:val="21"/>
                <w:lang w:val="en-US" w:eastAsia="zh-CN"/>
              </w:rPr>
              <w:t>50%</w:t>
            </w:r>
            <w:r>
              <w:rPr>
                <w:rFonts w:hint="eastAsia" w:ascii="仿宋" w:hAnsi="仿宋" w:eastAsia="仿宋"/>
                <w:b/>
                <w:bCs w:val="0"/>
                <w:szCs w:val="21"/>
              </w:rPr>
              <w:t>归投资人所有，</w:t>
            </w:r>
            <w:r>
              <w:rPr>
                <w:rFonts w:hint="eastAsia" w:ascii="仿宋" w:hAnsi="仿宋" w:eastAsia="仿宋"/>
                <w:b/>
                <w:bCs w:val="0"/>
                <w:szCs w:val="21"/>
                <w:lang w:val="en-US" w:eastAsia="zh-CN"/>
              </w:rPr>
              <w:t>50%</w:t>
            </w:r>
            <w:r>
              <w:rPr>
                <w:rFonts w:hint="eastAsia" w:ascii="仿宋" w:hAnsi="仿宋" w:eastAsia="仿宋"/>
                <w:b/>
                <w:bCs w:val="0"/>
                <w:szCs w:val="21"/>
              </w:rPr>
              <w:t>作为管理人的超额管理费。</w:t>
            </w:r>
          </w:p>
          <w:p>
            <w:pPr>
              <w:adjustRightInd w:val="0"/>
              <w:snapToGrid w:val="0"/>
              <w:spacing w:line="300" w:lineRule="exact"/>
              <w:ind w:firstLine="420"/>
              <w:rPr>
                <w:rFonts w:hint="eastAsia" w:ascii="仿宋" w:hAnsi="仿宋" w:eastAsia="仿宋"/>
                <w:b/>
                <w:bCs w:val="0"/>
                <w:szCs w:val="21"/>
                <w:lang w:val="en-US" w:eastAsia="zh-CN"/>
              </w:rPr>
            </w:pPr>
            <w:r>
              <w:rPr>
                <w:rFonts w:hint="eastAsia" w:ascii="仿宋" w:hAnsi="仿宋" w:eastAsia="仿宋"/>
                <w:b/>
                <w:bCs w:val="0"/>
                <w:szCs w:val="21"/>
              </w:rPr>
              <w:t>本理财产品超额计提基准为</w:t>
            </w:r>
            <w:r>
              <w:rPr>
                <w:rFonts w:hint="eastAsia" w:ascii="仿宋" w:hAnsi="仿宋" w:eastAsia="仿宋"/>
                <w:b/>
                <w:bCs w:val="0"/>
                <w:szCs w:val="21"/>
                <w:lang w:val="en-US" w:eastAsia="zh-CN"/>
              </w:rPr>
              <w:t>2.60</w:t>
            </w:r>
            <w:r>
              <w:rPr>
                <w:rFonts w:hint="eastAsia" w:ascii="仿宋" w:hAnsi="仿宋" w:eastAsia="仿宋"/>
                <w:b/>
                <w:bCs w:val="0"/>
                <w:szCs w:val="21"/>
              </w:rPr>
              <w:t>%（年化）</w:t>
            </w:r>
            <w:r>
              <w:rPr>
                <w:rFonts w:hint="eastAsia" w:ascii="仿宋" w:hAnsi="仿宋" w:eastAsia="仿宋"/>
                <w:b/>
                <w:bCs w:val="0"/>
                <w:szCs w:val="21"/>
                <w:lang w:val="en-US" w:eastAsia="zh-CN"/>
              </w:rPr>
              <w:t>。</w:t>
            </w:r>
          </w:p>
          <w:p>
            <w:pPr>
              <w:adjustRightInd w:val="0"/>
              <w:snapToGrid w:val="0"/>
              <w:spacing w:line="300" w:lineRule="exact"/>
              <w:ind w:firstLine="420"/>
              <w:rPr>
                <w:rFonts w:hint="eastAsia" w:ascii="仿宋" w:hAnsi="仿宋" w:eastAsia="仿宋"/>
                <w:b/>
                <w:bCs w:val="0"/>
                <w:szCs w:val="21"/>
              </w:rPr>
            </w:pPr>
            <w:r>
              <w:rPr>
                <w:rFonts w:hint="eastAsia" w:ascii="仿宋" w:hAnsi="仿宋" w:eastAsia="仿宋"/>
                <w:b/>
                <w:bCs w:val="0"/>
                <w:szCs w:val="21"/>
              </w:rPr>
              <w:t>计算规则详见</w:t>
            </w:r>
            <w:r>
              <w:rPr>
                <w:rFonts w:hint="eastAsia" w:ascii="仿宋" w:hAnsi="仿宋" w:eastAsia="仿宋"/>
                <w:b/>
                <w:bCs w:val="0"/>
                <w:szCs w:val="21"/>
                <w:lang w:eastAsia="zh-CN"/>
              </w:rPr>
              <w:t>“超额管理费”</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w:t>
            </w:r>
            <w:r>
              <w:rPr>
                <w:rFonts w:hint="eastAsia" w:ascii="仿宋" w:hAnsi="仿宋" w:eastAsia="仿宋" w:cs="Cambria"/>
                <w:b/>
                <w:szCs w:val="21"/>
                <w:lang w:val="en-US" w:eastAsia="zh-CN"/>
              </w:rPr>
              <w:t>理财</w:t>
            </w:r>
            <w:r>
              <w:rPr>
                <w:rFonts w:hint="eastAsia" w:ascii="仿宋" w:hAnsi="仿宋" w:eastAsia="仿宋" w:cs="Cambria"/>
                <w:b/>
                <w:szCs w:val="21"/>
              </w:rPr>
              <w:t>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hint="eastAsia" w:ascii="仿宋" w:hAnsi="仿宋" w:eastAsia="仿宋"/>
                <w:bCs/>
                <w:szCs w:val="21"/>
                <w:u w:val="single"/>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rFonts w:ascii="仿宋" w:hAnsi="仿宋" w:eastAsia="仿宋"/>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76"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
                <w:bCs w:val="0"/>
                <w:szCs w:val="21"/>
              </w:rPr>
            </w:pPr>
            <w:r>
              <w:rPr>
                <w:rFonts w:hint="eastAsia" w:ascii="仿宋" w:hAnsi="仿宋" w:eastAsia="仿宋"/>
                <w:b w:val="0"/>
                <w:bCs/>
                <w:szCs w:val="21"/>
              </w:rPr>
              <w:t>份额净值为提取管理费、托管费、销售手续费等相关费用后的理财产品份额净值，投资者按该份额净值进行到期/终止时的分配。</w:t>
            </w:r>
            <w:r>
              <w:rPr>
                <w:rFonts w:hint="eastAsia" w:ascii="仿宋" w:hAnsi="仿宋" w:eastAsia="仿宋"/>
                <w:b/>
                <w:bCs w:val="0"/>
                <w:szCs w:val="21"/>
              </w:rPr>
              <w:t>份额净值的计算保留到小数点后</w:t>
            </w:r>
            <w:r>
              <w:rPr>
                <w:rFonts w:ascii="仿宋" w:hAnsi="仿宋" w:eastAsia="仿宋"/>
                <w:b/>
                <w:bCs w:val="0"/>
                <w:szCs w:val="21"/>
              </w:rPr>
              <w:t xml:space="preserve"> 4 </w:t>
            </w:r>
            <w:r>
              <w:rPr>
                <w:rFonts w:hint="eastAsia" w:ascii="仿宋" w:hAnsi="仿宋" w:eastAsia="仿宋"/>
                <w:b/>
                <w:bCs w:val="0"/>
                <w:szCs w:val="21"/>
              </w:rPr>
              <w:t>位，小数点后第</w:t>
            </w:r>
            <w:r>
              <w:rPr>
                <w:rFonts w:ascii="仿宋" w:hAnsi="仿宋" w:eastAsia="仿宋"/>
                <w:b/>
                <w:bCs w:val="0"/>
                <w:szCs w:val="21"/>
              </w:rPr>
              <w:t xml:space="preserve"> 5 </w:t>
            </w:r>
            <w:r>
              <w:rPr>
                <w:rFonts w:hint="eastAsia" w:ascii="仿宋" w:hAnsi="仿宋" w:eastAsia="仿宋"/>
                <w:b/>
                <w:bCs w:val="0"/>
                <w:szCs w:val="21"/>
              </w:rPr>
              <w:t>位</w:t>
            </w:r>
            <w:r>
              <w:rPr>
                <w:rFonts w:hint="eastAsia" w:ascii="仿宋" w:hAnsi="仿宋" w:eastAsia="仿宋"/>
                <w:b/>
                <w:bCs w:val="0"/>
                <w:szCs w:val="21"/>
                <w:lang w:val="en-US" w:eastAsia="zh-CN"/>
              </w:rPr>
              <w:t>舍去</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hint="eastAsia"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rPr>
                <w:rFonts w:ascii="仿宋" w:hAnsi="仿宋" w:eastAsia="仿宋" w:cs="宋体"/>
                <w:kern w:val="0"/>
                <w:szCs w:val="21"/>
              </w:rPr>
            </w:pPr>
            <w:r>
              <w:rPr>
                <w:rFonts w:ascii="仿宋" w:hAnsi="仿宋" w:eastAsia="仿宋" w:cs="宋体"/>
                <w:kern w:val="0"/>
                <w:szCs w:val="21"/>
              </w:rPr>
              <w:t>产品管理人可以在产品存续期根据投资情况选择分红或不分红，若分红，将以现金分红或红利再投资方式进行，默认为现金分红，具体以公告为准。本理财产品分红，将于分红日前3个工作日通过本产品说明书约定的信息披露渠道公布分红方案</w:t>
            </w:r>
            <w:r>
              <w:rPr>
                <w:rFonts w:hint="eastAsia" w:ascii="仿宋" w:hAnsi="仿宋" w:eastAsia="仿宋" w:cs="宋体"/>
                <w:kern w:val="0"/>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firstLine="420" w:firstLineChars="20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300" w:lineRule="exact"/>
              <w:ind w:right="-44" w:firstLine="420" w:firstLineChars="20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right="-44" w:rightChars="0" w:firstLine="420" w:firstLineChars="200"/>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cs="宋体"/>
                <w:kern w:val="0"/>
                <w:szCs w:val="21"/>
              </w:rP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1"/>
        <w:snapToGrid w:val="0"/>
        <w:spacing w:after="156" w:afterLines="50" w:line="400" w:lineRule="exact"/>
        <w:ind w:firstLine="482" w:firstLineChars="200"/>
        <w:jc w:val="both"/>
        <w:rPr>
          <w:rFonts w:ascii="Times New Roman" w:eastAsia="黑体" w:cs="Times New Roman"/>
          <w:b/>
          <w:color w:val="auto"/>
        </w:rPr>
      </w:pP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w:t>
      </w:r>
      <w:r>
        <w:rPr>
          <w:rFonts w:hint="eastAsia" w:ascii="仿宋" w:hAnsi="仿宋" w:eastAsia="仿宋" w:cs="宋体"/>
          <w:kern w:val="0"/>
          <w:sz w:val="24"/>
        </w:rPr>
        <w:t>理财</w:t>
      </w:r>
      <w:r>
        <w:rPr>
          <w:rFonts w:hint="eastAsia" w:ascii="仿宋" w:hAnsi="仿宋" w:eastAsia="仿宋" w:cs="宋体"/>
          <w:color w:val="000000"/>
          <w:kern w:val="0"/>
          <w:sz w:val="24"/>
        </w:rPr>
        <w:t>产品</w:t>
      </w:r>
      <w:r>
        <w:rPr>
          <w:rFonts w:hint="eastAsia" w:ascii="仿宋" w:hAnsi="仿宋" w:eastAsia="仿宋" w:cs="宋体"/>
          <w:kern w:val="0"/>
          <w:sz w:val="24"/>
        </w:rPr>
        <w:t>将</w:t>
      </w:r>
      <w:r>
        <w:rPr>
          <w:rFonts w:hint="eastAsia" w:ascii="仿宋" w:hAnsi="仿宋" w:eastAsia="仿宋" w:cs="宋体"/>
          <w:color w:val="000000"/>
          <w:kern w:val="0"/>
          <w:sz w:val="24"/>
        </w:rPr>
        <w:t>主要投资于货币市场工具、标准化债权类资产、非标准化债权类资产等固定收益类资产，权益类资产</w:t>
      </w:r>
      <w:r>
        <w:rPr>
          <w:rFonts w:hint="eastAsia" w:ascii="仿宋" w:hAnsi="仿宋" w:eastAsia="仿宋" w:cs="宋体"/>
          <w:color w:val="000000"/>
          <w:kern w:val="0"/>
          <w:sz w:val="24"/>
          <w:lang w:eastAsia="zh-CN"/>
        </w:rPr>
        <w:t>，商品及金融衍生品类资产。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hint="eastAsia" w:ascii="仿宋" w:hAnsi="仿宋" w:eastAsia="仿宋" w:cs="仿宋"/>
          <w:color w:val="000000"/>
          <w:kern w:val="0"/>
          <w:sz w:val="24"/>
        </w:rPr>
      </w:pPr>
      <w:r>
        <w:rPr>
          <w:rFonts w:hint="eastAsia" w:ascii="仿宋" w:hAnsi="仿宋" w:eastAsia="仿宋" w:cs="仿宋"/>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但不限于银行存款、大额存单、同业存单（CD）、短期融资券、超短期融资券、剩余期限在397天以内（含397天）的债券、期限在一年以内（含一年）的债券回购、期限在一年以内（含一年）的中央银行票据以及</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lang w:eastAsia="zh-CN"/>
        </w:rPr>
      </w:pPr>
      <w:r>
        <w:rPr>
          <w:rFonts w:hint="eastAsia" w:ascii="仿宋" w:hAnsi="仿宋" w:eastAsia="仿宋" w:cs="宋体"/>
          <w:color w:val="000000"/>
          <w:kern w:val="0"/>
          <w:sz w:val="24"/>
        </w:rPr>
        <w:t>权益类资产包括但不限于国内依法发行和上市的股票（包括主板、创业板、中小板、科创板以及其他经中国证监会核准上市的股票，包括新股申购、定向增发、大宗交易、询价转让等）、内地与香港股票市场交易互联互通机制允许买卖的香港市场股票，以及股票型、混合型公募证券投资基金等</w:t>
      </w:r>
      <w:r>
        <w:rPr>
          <w:rFonts w:hint="eastAsia" w:ascii="仿宋" w:hAnsi="仿宋" w:eastAsia="仿宋" w:cs="宋体"/>
          <w:color w:val="000000"/>
          <w:kern w:val="0"/>
          <w:sz w:val="24"/>
          <w:lang w:eastAsia="zh-CN"/>
        </w:rPr>
        <w:t>；</w:t>
      </w:r>
    </w:p>
    <w:p>
      <w:pPr>
        <w:widowControl/>
        <w:adjustRightInd w:val="0"/>
        <w:snapToGrid w:val="0"/>
        <w:spacing w:line="276" w:lineRule="auto"/>
        <w:ind w:firstLine="480" w:firstLineChars="200"/>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lang w:eastAsia="zh-CN"/>
        </w:rPr>
        <w:t>商品类资产包括贵金属和大宗商品等以实物形式存在的商品资产；金融衍生品类资产包括但不限于远期合同、期货合同、互换和期权，以及具有远期合同、期货合同、互换和期权一种或一种以上特征的工具。</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各类资产投资比例如下：</w:t>
      </w:r>
    </w:p>
    <w:tbl>
      <w:tblPr>
        <w:tblStyle w:val="8"/>
        <w:tblW w:w="8874" w:type="dxa"/>
        <w:jc w:val="center"/>
        <w:tblCellSpacing w:w="0" w:type="dxa"/>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6113"/>
        <w:gridCol w:w="2761"/>
      </w:tblGrid>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23" w:hRule="atLeast"/>
          <w:tblCellSpacing w:w="0" w:type="dxa"/>
          <w:jc w:val="center"/>
        </w:trPr>
        <w:tc>
          <w:tcPr>
            <w:tcW w:w="611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eastAsia="仿宋"/>
                <w:kern w:val="0"/>
                <w:sz w:val="24"/>
              </w:rPr>
              <w:t>资产</w:t>
            </w:r>
            <w:r>
              <w:rPr>
                <w:rFonts w:eastAsia="仿宋"/>
                <w:kern w:val="0"/>
                <w:sz w:val="24"/>
              </w:rPr>
              <w:t>类别</w:t>
            </w:r>
          </w:p>
        </w:tc>
        <w:tc>
          <w:tcPr>
            <w:tcW w:w="2761"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eastAsia="仿宋"/>
                <w:kern w:val="0"/>
                <w:sz w:val="24"/>
              </w:rPr>
              <w:t>投资比例</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322" w:hRule="atLeast"/>
          <w:tblCellSpacing w:w="0" w:type="dxa"/>
          <w:jc w:val="center"/>
        </w:trPr>
        <w:tc>
          <w:tcPr>
            <w:tcW w:w="611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eastAsia="仿宋"/>
                <w:kern w:val="0"/>
                <w:sz w:val="24"/>
              </w:rPr>
            </w:pPr>
            <w:r>
              <w:rPr>
                <w:rFonts w:hint="eastAsia" w:ascii="仿宋" w:hAnsi="仿宋" w:eastAsia="仿宋" w:cs="宋体"/>
                <w:color w:val="000000"/>
                <w:kern w:val="0"/>
                <w:sz w:val="24"/>
              </w:rPr>
              <w:t>固定收益类</w:t>
            </w:r>
          </w:p>
        </w:tc>
        <w:tc>
          <w:tcPr>
            <w:tcW w:w="276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eastAsia="仿宋"/>
                <w:kern w:val="0"/>
                <w:sz w:val="24"/>
              </w:rPr>
            </w:pPr>
            <w:r>
              <w:rPr>
                <w:rFonts w:hint="eastAsia" w:ascii="仿宋" w:hAnsi="仿宋" w:eastAsia="仿宋" w:cs="宋体"/>
                <w:color w:val="000000"/>
                <w:kern w:val="0"/>
                <w:sz w:val="24"/>
                <w:lang w:val="en-US" w:eastAsia="zh-CN"/>
              </w:rPr>
              <w:t>80</w:t>
            </w:r>
            <w:r>
              <w:rPr>
                <w:rFonts w:hint="eastAsia" w:ascii="仿宋" w:hAnsi="仿宋" w:eastAsia="仿宋" w:cs="宋体"/>
                <w:color w:val="000000"/>
                <w:kern w:val="0"/>
                <w:sz w:val="24"/>
              </w:rPr>
              <w:t>%</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lang w:val="en-US" w:eastAsia="zh-CN"/>
              </w:rPr>
              <w:t>含</w:t>
            </w:r>
            <w:r>
              <w:rPr>
                <w:rFonts w:hint="eastAsia" w:ascii="仿宋" w:hAnsi="仿宋" w:eastAsia="仿宋" w:cs="宋体"/>
                <w:color w:val="000000"/>
                <w:kern w:val="0"/>
                <w:sz w:val="24"/>
                <w:lang w:eastAsia="zh-CN"/>
              </w:rPr>
              <w:t>）</w:t>
            </w:r>
            <w:r>
              <w:rPr>
                <w:rFonts w:hint="eastAsia" w:ascii="仿宋" w:hAnsi="仿宋" w:eastAsia="仿宋" w:cs="宋体"/>
                <w:color w:val="000000"/>
                <w:kern w:val="0"/>
                <w:sz w:val="24"/>
              </w:rPr>
              <w:t>-100%</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611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rPr>
            </w:pPr>
            <w:r>
              <w:rPr>
                <w:rFonts w:hint="eastAsia" w:ascii="仿宋" w:hAnsi="仿宋" w:eastAsia="仿宋" w:cs="宋体"/>
                <w:color w:val="000000"/>
                <w:kern w:val="0"/>
                <w:sz w:val="24"/>
              </w:rPr>
              <w:t>权益类</w:t>
            </w:r>
          </w:p>
        </w:tc>
        <w:tc>
          <w:tcPr>
            <w:tcW w:w="276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ascii="仿宋" w:hAnsi="仿宋" w:eastAsia="仿宋" w:cs="宋体"/>
                <w:color w:val="000000"/>
                <w:kern w:val="0"/>
                <w:sz w:val="24"/>
              </w:rPr>
            </w:pPr>
            <w:r>
              <w:rPr>
                <w:rFonts w:hint="eastAsia" w:ascii="仿宋" w:hAnsi="仿宋" w:eastAsia="仿宋" w:cs="宋体"/>
                <w:color w:val="000000"/>
                <w:kern w:val="0"/>
                <w:sz w:val="24"/>
              </w:rPr>
              <w:t>0%-</w:t>
            </w:r>
            <w:r>
              <w:rPr>
                <w:rFonts w:hint="eastAsia" w:ascii="仿宋" w:hAnsi="仿宋" w:eastAsia="仿宋" w:cs="宋体"/>
                <w:color w:val="000000"/>
                <w:kern w:val="0"/>
                <w:sz w:val="24"/>
                <w:lang w:val="en-US" w:eastAsia="zh-CN"/>
              </w:rPr>
              <w:t>20</w:t>
            </w:r>
            <w:r>
              <w:rPr>
                <w:rFonts w:hint="eastAsia" w:ascii="仿宋" w:hAnsi="仿宋" w:eastAsia="仿宋" w:cs="宋体"/>
                <w:color w:val="000000"/>
                <w:kern w:val="0"/>
                <w:sz w:val="24"/>
              </w:rPr>
              <w:t>%</w:t>
            </w:r>
          </w:p>
        </w:tc>
      </w:tr>
      <w:tr>
        <w:tblPrEx>
          <w:tblBorders>
            <w:top w:val="none" w:color="auto" w:sz="0"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447" w:hRule="atLeast"/>
          <w:tblCellSpacing w:w="0" w:type="dxa"/>
          <w:jc w:val="center"/>
        </w:trPr>
        <w:tc>
          <w:tcPr>
            <w:tcW w:w="6113" w:type="dxa"/>
            <w:tcBorders>
              <w:top w:val="outset" w:color="auto" w:sz="6" w:space="0"/>
              <w:left w:val="outset" w:color="auto" w:sz="6" w:space="0"/>
              <w:bottom w:val="outset" w:color="auto" w:sz="6" w:space="0"/>
              <w:right w:val="outset" w:color="auto" w:sz="6" w:space="0"/>
            </w:tcBorders>
            <w:vAlign w:val="center"/>
          </w:tcPr>
          <w:p>
            <w:pPr>
              <w:adjustRightInd w:val="0"/>
              <w:snapToGrid w:val="0"/>
              <w:jc w:val="center"/>
              <w:rPr>
                <w:rFonts w:hint="eastAsia" w:ascii="仿宋" w:hAnsi="仿宋" w:eastAsia="仿宋" w:cs="宋体"/>
                <w:color w:val="000000"/>
                <w:kern w:val="0"/>
                <w:sz w:val="24"/>
                <w:lang w:val="en-US" w:eastAsia="zh-CN"/>
              </w:rPr>
            </w:pPr>
            <w:r>
              <w:rPr>
                <w:rFonts w:hint="eastAsia" w:ascii="仿宋" w:hAnsi="仿宋" w:eastAsia="仿宋" w:cs="宋体"/>
                <w:color w:val="000000"/>
                <w:kern w:val="0"/>
                <w:sz w:val="24"/>
                <w:lang w:val="en-US" w:eastAsia="zh-CN"/>
              </w:rPr>
              <w:t>商品及金融衍生品类</w:t>
            </w:r>
          </w:p>
          <w:p>
            <w:pPr>
              <w:adjustRightInd w:val="0"/>
              <w:snapToGrid w:val="0"/>
              <w:jc w:val="center"/>
              <w:rPr>
                <w:rFonts w:hint="eastAsia" w:ascii="仿宋" w:hAnsi="仿宋" w:eastAsia="仿宋" w:cs="宋体"/>
                <w:color w:val="000000"/>
                <w:kern w:val="0"/>
                <w:sz w:val="24"/>
                <w:lang w:eastAsia="zh-CN"/>
              </w:rPr>
            </w:pPr>
            <w:r>
              <w:rPr>
                <w:rFonts w:hint="eastAsia" w:ascii="仿宋" w:hAnsi="仿宋" w:eastAsia="仿宋" w:cs="宋体"/>
                <w:color w:val="000000"/>
                <w:kern w:val="0"/>
                <w:sz w:val="24"/>
                <w:lang w:eastAsia="zh-CN"/>
              </w:rPr>
              <w:t>（商品及金融衍生品类投资须符合监管要求）</w:t>
            </w:r>
          </w:p>
        </w:tc>
        <w:tc>
          <w:tcPr>
            <w:tcW w:w="2761" w:type="dxa"/>
            <w:tcBorders>
              <w:top w:val="outset" w:color="auto" w:sz="6" w:space="0"/>
              <w:left w:val="outset" w:color="auto" w:sz="6" w:space="0"/>
              <w:bottom w:val="outset" w:color="auto" w:sz="6" w:space="0"/>
              <w:right w:val="outset" w:color="auto" w:sz="6" w:space="0"/>
            </w:tcBorders>
            <w:vAlign w:val="center"/>
          </w:tcPr>
          <w:p>
            <w:pPr>
              <w:adjustRightInd w:val="0"/>
              <w:snapToGrid w:val="0"/>
              <w:spacing w:line="400" w:lineRule="exact"/>
              <w:jc w:val="center"/>
              <w:rPr>
                <w:rFonts w:hint="eastAsia" w:ascii="仿宋" w:hAnsi="仿宋" w:eastAsia="仿宋" w:cs="宋体"/>
                <w:color w:val="000000"/>
                <w:kern w:val="0"/>
                <w:sz w:val="24"/>
              </w:rPr>
            </w:pPr>
            <w:r>
              <w:rPr>
                <w:rFonts w:hint="eastAsia" w:ascii="仿宋" w:hAnsi="仿宋" w:eastAsia="仿宋" w:cs="宋体"/>
                <w:color w:val="000000"/>
                <w:kern w:val="0"/>
                <w:sz w:val="24"/>
              </w:rPr>
              <w:t>0%-</w:t>
            </w:r>
            <w:r>
              <w:rPr>
                <w:rFonts w:hint="eastAsia" w:ascii="仿宋" w:hAnsi="仿宋" w:eastAsia="仿宋" w:cs="宋体"/>
                <w:color w:val="000000"/>
                <w:kern w:val="0"/>
                <w:sz w:val="24"/>
                <w:lang w:val="en-US" w:eastAsia="zh-CN"/>
              </w:rPr>
              <w:t>20</w:t>
            </w:r>
            <w:r>
              <w:rPr>
                <w:rFonts w:hint="eastAsia" w:ascii="仿宋" w:hAnsi="仿宋" w:eastAsia="仿宋" w:cs="宋体"/>
                <w:color w:val="000000"/>
                <w:kern w:val="0"/>
                <w:sz w:val="24"/>
              </w:rPr>
              <w:t>%</w:t>
            </w:r>
          </w:p>
        </w:tc>
      </w:tr>
    </w:tbl>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widowControl/>
        <w:adjustRightInd w:val="0"/>
        <w:snapToGrid w:val="0"/>
        <w:spacing w:line="276" w:lineRule="auto"/>
        <w:ind w:firstLine="480" w:firstLineChars="200"/>
        <w:contextualSpacing/>
        <w:rPr>
          <w:rFonts w:ascii="仿宋" w:hAnsi="仿宋" w:eastAsia="仿宋" w:cs="宋体"/>
          <w:kern w:val="0"/>
          <w:sz w:val="24"/>
        </w:rPr>
      </w:pPr>
    </w:p>
    <w:p>
      <w:pPr>
        <w:pStyle w:val="11"/>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w:t>
      </w:r>
      <w:r>
        <w:rPr>
          <w:rFonts w:hint="eastAsia" w:ascii="仿宋" w:hAnsi="仿宋" w:eastAsia="仿宋"/>
          <w:sz w:val="24"/>
          <w:lang w:val="en-US" w:eastAsia="zh-CN"/>
        </w:rPr>
        <w:t>等渠道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w:t>
      </w:r>
      <w:r>
        <w:rPr>
          <w:rFonts w:hint="eastAsia" w:ascii="仿宋" w:hAnsi="仿宋" w:eastAsia="仿宋" w:cs="宋体"/>
          <w:b/>
          <w:bCs/>
          <w:kern w:val="0"/>
          <w:sz w:val="24"/>
          <w:lang w:val="en-US" w:eastAsia="zh-CN"/>
        </w:rPr>
        <w:t>允许</w:t>
      </w:r>
      <w:r>
        <w:rPr>
          <w:rFonts w:hint="eastAsia" w:ascii="仿宋" w:hAnsi="仿宋" w:eastAsia="仿宋" w:cs="宋体"/>
          <w:b/>
          <w:bCs/>
          <w:kern w:val="0"/>
          <w:sz w:val="24"/>
        </w:rPr>
        <w:t>单一投资者持有份额超过产品总份额的50%，本产品不向个人投资者公开销售。</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hint="eastAsia"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1"/>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1.1800</w:t>
      </w:r>
      <w:r>
        <w:rPr>
          <w:rFonts w:hint="eastAsia" w:ascii="仿宋" w:hAnsi="仿宋" w:eastAsia="仿宋" w:cs="仿宋"/>
          <w:sz w:val="24"/>
        </w:rPr>
        <w:t>，客户到期获得的金额为：</w:t>
      </w:r>
      <w:r>
        <w:rPr>
          <w:rFonts w:ascii="仿宋" w:hAnsi="仿宋" w:eastAsia="仿宋" w:cs="仿宋"/>
          <w:sz w:val="24"/>
        </w:rPr>
        <w:t>100,000*1.1800=118,000.00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snapToGrid w:val="0"/>
        <w:spacing w:after="156" w:afterLines="50" w:line="276" w:lineRule="auto"/>
        <w:ind w:firstLine="482" w:firstLineChars="200"/>
        <w:contextualSpacing/>
        <w:jc w:val="both"/>
        <w:rPr>
          <w:rFonts w:ascii="Times New Roman" w:eastAsia="黑体" w:cs="Times New Roman"/>
          <w:b/>
          <w:color w:val="auto"/>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示例或类似表述均不具有法律约束力，不等于预期收益，不代表投资者可能获得的实际收益，亦不构成华夏理财/代销机构对本理财产品的任何收益承诺。</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本理财产品所投资的货币市场工具、标准化债权类资产、非标准化债权类资产</w:t>
      </w:r>
      <w:r>
        <w:rPr>
          <w:rFonts w:hint="eastAsia" w:ascii="仿宋" w:hAnsi="仿宋" w:eastAsia="仿宋" w:cs="仿宋"/>
          <w:lang w:eastAsia="zh-CN"/>
        </w:rPr>
        <w:t>、</w:t>
      </w:r>
      <w:r>
        <w:rPr>
          <w:rFonts w:hint="eastAsia" w:ascii="仿宋" w:hAnsi="仿宋" w:eastAsia="仿宋"/>
        </w:rPr>
        <w:t>权益类资产</w:t>
      </w:r>
      <w:r>
        <w:rPr>
          <w:rFonts w:hint="eastAsia" w:ascii="仿宋" w:hAnsi="仿宋" w:eastAsia="仿宋"/>
          <w:lang w:eastAsia="zh-CN"/>
        </w:rPr>
        <w:t>、</w:t>
      </w:r>
      <w:r>
        <w:rPr>
          <w:rFonts w:hint="eastAsia" w:ascii="仿宋" w:hAnsi="仿宋" w:eastAsia="仿宋"/>
          <w:lang w:val="en-US" w:eastAsia="zh-CN"/>
        </w:rPr>
        <w:t>商品及金融衍生品类资产</w:t>
      </w:r>
      <w:r>
        <w:rPr>
          <w:rFonts w:hint="eastAsia" w:ascii="仿宋" w:hAnsi="仿宋" w:eastAsia="仿宋" w:cs="仿宋"/>
        </w:rPr>
        <w:t>以及资产管理产品等资产。</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1"/>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1"/>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1"/>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1"/>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1"/>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1"/>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1"/>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5" w:name="_Hlk76300274"/>
      <w:r>
        <w:rPr>
          <w:rFonts w:hint="eastAsia" w:ascii="Times New Roman" w:eastAsia="黑体" w:cs="Times New Roman"/>
          <w:b/>
          <w:color w:val="auto"/>
        </w:rPr>
        <w:t>所投资的资产</w:t>
      </w:r>
      <w:bookmarkEnd w:id="5"/>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1"/>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1"/>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6" w:name="_Hlk76301212"/>
      <w:r>
        <w:rPr>
          <w:rFonts w:hint="eastAsia" w:ascii="Times New Roman" w:eastAsia="黑体" w:cs="Times New Roman"/>
          <w:b/>
          <w:color w:val="auto"/>
        </w:rPr>
        <w:t>华夏理财/代销机构</w:t>
      </w:r>
      <w:bookmarkEnd w:id="6"/>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1"/>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1"/>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1"/>
        <w:numPr>
          <w:ilvl w:val="0"/>
          <w:numId w:val="1"/>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color w:val="auto"/>
        </w:rPr>
        <w:t>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（十</w:t>
      </w:r>
      <w:r>
        <w:rPr>
          <w:rFonts w:hint="eastAsia" w:ascii="Times New Roman" w:eastAsia="黑体" w:cs="Times New Roman"/>
          <w:b/>
          <w:lang w:val="en-US" w:eastAsia="zh-CN"/>
        </w:rPr>
        <w:t>六</w:t>
      </w:r>
      <w:r>
        <w:rPr>
          <w:rFonts w:hint="eastAsia" w:ascii="Times New Roman" w:eastAsia="黑体" w:cs="Times New Roman"/>
          <w:b/>
        </w:rPr>
        <w:t>）本产品特有风险说明</w:t>
      </w:r>
    </w:p>
    <w:p>
      <w:pPr>
        <w:pStyle w:val="11"/>
        <w:snapToGrid w:val="0"/>
        <w:spacing w:beforeLines="0" w:afterLines="0"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w:t>
      </w:r>
      <w:r>
        <w:rPr>
          <w:rFonts w:hint="eastAsia" w:ascii="Times New Roman" w:hAnsi="Times New Roman" w:eastAsia="黑体" w:cs="Times New Roman"/>
          <w:b/>
          <w:color w:val="000000"/>
          <w:kern w:val="0"/>
          <w:sz w:val="24"/>
        </w:rPr>
        <w:t>固定收益类、权益类资产、商品及金融衍生品类</w:t>
      </w:r>
      <w:r>
        <w:rPr>
          <w:rFonts w:hint="eastAsia" w:ascii="Times New Roman" w:eastAsia="黑体" w:cs="Times New Roman"/>
          <w:b/>
        </w:rPr>
        <w:t>，因此可能面临如下特定风险：</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 xml:space="preserve">。 </w:t>
      </w:r>
      <w:r>
        <w:rPr>
          <w:rFonts w:hint="eastAsia" w:ascii="Times New Roman" w:hAnsi="Times New Roman" w:eastAsia="黑体" w:cs="Times New Roman"/>
          <w:b/>
          <w:kern w:val="0"/>
          <w:sz w:val="24"/>
          <w:szCs w:val="24"/>
        </w:rPr>
        <w:t xml:space="preserve"> </w:t>
      </w:r>
    </w:p>
    <w:p>
      <w:pPr>
        <w:pStyle w:val="11"/>
        <w:snapToGrid w:val="0"/>
        <w:spacing w:beforeLines="0" w:afterLines="0"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3.投资于非标准化债权类资产的可能风险：（1）由于经济周期、行业竞争、管理能力、盈利模式、财务状况等变化可能发生资产经营不善，甚至破产清算、被兼并收购、无法偿还融资本金利息等状况，可能影响投资者收益，甚至使产品本金遭受损失；（2）由于融资方/担保方还款履约能力发生变化等原因，可能无法、逾期或提前偿还相关融资本金利息、或发生合同约定的其他债权延期或提前终止等情形，导致无法按计划分配投资本金、收益，可能影响投资者收益，甚至使产品本金遭受损失。</w:t>
      </w:r>
    </w:p>
    <w:p>
      <w:pPr>
        <w:pStyle w:val="11"/>
        <w:snapToGrid w:val="0"/>
        <w:spacing w:beforeLines="0" w:afterLines="0"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4.投资于存款类资产的可能风险：本产品拟投资的存款类资产在极端情况下可能面临被拒绝支取、因提前支取而被收取罚息等费用的风险，从而影响投资者收益，甚至使本产品本金遭受损失。</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 xml:space="preserve"> 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6.投资于股票类资产的可能风险：国家货币、财政、产业等政策变化对证券市场产生一定的影响，导致市场价格水平波动的风险；宏观经济运行周期性波动，对股票市场的收益水平产生影响的风险；上市公司的经营状况受多种因素影响，如市场、技术、竞争、管理、财务等都可能导致公司盈利发生变化，从而导致股票价格下跌，影响投资者收益，甚至使产品本金遭受损失；股票遭流通和转让限制导致的流动性风险；投资于不同板块、不同市场股票，如投资科创板、创业板、港股通股票等，可能面临因投资标的、市场制度、交易规则、监管法规等差异造成的风险等。</w:t>
      </w:r>
    </w:p>
    <w:p>
      <w:pPr>
        <w:pStyle w:val="11"/>
        <w:snapToGrid w:val="0"/>
        <w:spacing w:beforeLines="0" w:afterLines="0"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bidi="ar-SA"/>
        </w:rPr>
        <w:t>7.</w:t>
      </w:r>
      <w:r>
        <w:rPr>
          <w:rFonts w:hint="eastAsia" w:ascii="Times New Roman" w:hAnsi="Times New Roman" w:eastAsia="黑体" w:cs="Times New Roman"/>
          <w:b/>
          <w:kern w:val="0"/>
          <w:sz w:val="24"/>
          <w:szCs w:val="24"/>
          <w:lang w:val="en-US" w:eastAsia="zh-CN" w:bidi="ar-SA"/>
        </w:rPr>
        <w:t xml:space="preserve">投资于券商收益凭证的可能风险：券商收益凭证通常以证券公司的信用发行，在存续期间，证券公司可能发生解散、破产、无力清偿到期债务、资产被查封、冻结或强制执行等情形，存在无法偿付凭证本金和收益的信用风险；由于证券公司内部管理流程缺陷、人员操作失误、不合规、估值错误或者外部事件等原因而导致损失的操作风险；券商收益凭证本金和收益的偿付挂钩特定标的，包括但不限于股权、债权、信用、基金、利率、汇率、指数、期货和商品等，收益存在不确定性市场风险；根据不同的券商收益凭证结构设计，存在券商收益凭证提前终止导致产品再投资或提前终止风险。本理财产品投资于券商收益凭证，还可能面临流动性风险、政策法律风险、信息传递风险、不可抗力及意外事件风险等情形而导致无法实现投资收益甚至产品本金遭受损失的风险。 </w:t>
      </w:r>
    </w:p>
    <w:p>
      <w:pPr>
        <w:pStyle w:val="11"/>
        <w:numPr>
          <w:ilvl w:val="-1"/>
          <w:numId w:val="0"/>
        </w:numPr>
        <w:snapToGrid w:val="0"/>
        <w:spacing w:line="276" w:lineRule="auto"/>
        <w:ind w:firstLine="482" w:firstLineChars="200"/>
        <w:contextualSpacing/>
        <w:jc w:val="both"/>
        <w:rPr>
          <w:rFonts w:hint="eastAsia" w:ascii="Times New Roman" w:eastAsia="黑体" w:cs="Times New Roman"/>
          <w:b/>
          <w:bCs w:val="0"/>
          <w:kern w:val="0"/>
          <w:sz w:val="24"/>
          <w:szCs w:val="24"/>
          <w:lang w:val="en-US" w:eastAsia="zh-CN" w:bidi="ar-SA"/>
        </w:rPr>
      </w:pPr>
      <w:r>
        <w:rPr>
          <w:rFonts w:hint="eastAsia" w:ascii="Times New Roman" w:eastAsia="黑体" w:cs="Times New Roman"/>
          <w:b/>
          <w:lang w:val="en-US" w:eastAsia="zh-CN"/>
        </w:rPr>
        <w:t>8.</w:t>
      </w:r>
      <w:r>
        <w:rPr>
          <w:rFonts w:hint="eastAsia" w:ascii="Times New Roman" w:eastAsia="黑体" w:cs="Times New Roman"/>
          <w:b/>
          <w:bCs w:val="0"/>
          <w:kern w:val="0"/>
          <w:sz w:val="24"/>
          <w:szCs w:val="24"/>
          <w:lang w:val="en-US" w:eastAsia="zh-CN" w:bidi="ar-SA"/>
        </w:rPr>
        <w:t>投资于优先股的可能风险：优先股具有固定收益证券的特征，但优先股发行方无到期归还本金的义务，可能发生发行人经营状况恶化、无法足额支付股息的风险，从而影响产品和投资者收益；优先股属于权益类资产，价格受国家各类政策、宏观经济、行业发展等多种因素影响，可能发生波动从而影响产品收益，甚至使产品本金遭受损失。</w:t>
      </w:r>
    </w:p>
    <w:p>
      <w:pPr>
        <w:pStyle w:val="11"/>
        <w:numPr>
          <w:ilvl w:val="-1"/>
          <w:numId w:val="0"/>
        </w:numPr>
        <w:snapToGrid w:val="0"/>
        <w:spacing w:line="276" w:lineRule="auto"/>
        <w:ind w:firstLine="482" w:firstLineChars="200"/>
        <w:contextualSpacing/>
        <w:jc w:val="both"/>
        <w:rPr>
          <w:rFonts w:hint="eastAsia" w:ascii="Times New Roman" w:eastAsia="黑体" w:cs="Times New Roman"/>
          <w:b/>
          <w:bCs w:val="0"/>
          <w:kern w:val="0"/>
          <w:sz w:val="24"/>
          <w:szCs w:val="24"/>
          <w:lang w:val="en-US" w:eastAsia="zh-CN" w:bidi="ar-SA"/>
        </w:rPr>
      </w:pPr>
      <w:r>
        <w:rPr>
          <w:rFonts w:hint="eastAsia" w:ascii="Times New Roman" w:eastAsia="黑体" w:cs="Times New Roman"/>
          <w:b/>
          <w:bCs w:val="0"/>
          <w:kern w:val="0"/>
          <w:sz w:val="24"/>
          <w:szCs w:val="24"/>
          <w:lang w:val="en-US" w:eastAsia="zh-CN" w:bidi="ar-SA"/>
        </w:rPr>
        <w:t>9.投资于商品及金融衍生品类资产的可能风险：基础产品价格波动造成衍生品价格波动，高杠杆和跨期交易可能加剧衍生品价格波动的市场风险；衍生品发行方或交易对手方违约或不履行合约的导致的信用风险；缺乏交易对手导致无法平仓/变现、流动资金不足或无法追加保证金导致被迫平仓造成亏损的风险；因内部程序、人员、系统操作不当或因外部事件导致损失的操作风险；部分衍生品操作相关法律法规的滞后，交易合约在法律范围内无效而无法履约或交易合约订立不当产生的法律风险。</w:t>
      </w:r>
    </w:p>
    <w:p>
      <w:pPr>
        <w:pStyle w:val="11"/>
        <w:numPr>
          <w:ilvl w:val="-1"/>
          <w:numId w:val="0"/>
        </w:numPr>
        <w:snapToGrid w:val="0"/>
        <w:spacing w:line="276" w:lineRule="auto"/>
        <w:ind w:firstLine="482" w:firstLineChars="200"/>
        <w:contextualSpacing/>
        <w:jc w:val="both"/>
        <w:rPr>
          <w:rFonts w:hint="eastAsia" w:ascii="Times New Roman" w:eastAsia="黑体" w:cs="Times New Roman"/>
          <w:b/>
          <w:color w:val="auto"/>
        </w:rPr>
      </w:pPr>
      <w:r>
        <w:rPr>
          <w:rFonts w:hint="eastAsia" w:ascii="Times New Roman" w:eastAsia="黑体" w:cs="Times New Roman"/>
          <w:b/>
          <w:bCs w:val="0"/>
          <w:kern w:val="0"/>
          <w:sz w:val="24"/>
          <w:szCs w:val="24"/>
          <w:lang w:val="en-US" w:eastAsia="zh-CN" w:bidi="ar-SA"/>
        </w:rPr>
        <w:t>10.</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1"/>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utoSpaceDE/>
        <w:autoSpaceDN/>
        <w:adjustRightInd w:val="0"/>
        <w:snapToGrid w:val="0"/>
        <w:spacing w:line="276" w:lineRule="auto"/>
        <w:ind w:firstLine="482" w:firstLineChars="200"/>
        <w:contextualSpacing/>
        <w:rPr>
          <w:rFonts w:ascii="Times New Roman" w:hAnsi="Times New Roman" w:eastAsia="黑体" w:cs="Times New Roman"/>
          <w:b/>
          <w:bCs/>
          <w:kern w:val="2"/>
          <w:sz w:val="24"/>
        </w:rPr>
      </w:pPr>
      <w:r>
        <w:rPr>
          <w:rFonts w:ascii="Times New Roman" w:hAnsi="Times New Roman" w:eastAsia="黑体" w:cs="Times New Roman"/>
          <w:b/>
          <w:bCs/>
          <w:kern w:val="2"/>
          <w:sz w:val="24"/>
        </w:rPr>
        <w:t>在本</w:t>
      </w:r>
      <w:r>
        <w:rPr>
          <w:rFonts w:hint="default" w:ascii="Times New Roman" w:hAnsi="Times New Roman" w:eastAsia="黑体" w:cs="Times New Roman"/>
          <w:b/>
          <w:bCs/>
          <w:kern w:val="2"/>
          <w:sz w:val="24"/>
        </w:rPr>
        <w:t>理财</w:t>
      </w:r>
      <w:r>
        <w:rPr>
          <w:rFonts w:ascii="Times New Roman" w:hAnsi="Times New Roman" w:eastAsia="黑体" w:cs="Times New Roman"/>
          <w:b/>
          <w:bCs/>
          <w:kern w:val="2"/>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2"/>
          <w:sz w:val="24"/>
        </w:rPr>
        <w:t>华夏理财有限责任公司官方网站（www.hxwm.com.cn）</w:t>
      </w:r>
      <w:r>
        <w:rPr>
          <w:rFonts w:ascii="Times New Roman" w:hAnsi="Times New Roman" w:eastAsia="黑体" w:cs="Times New Roman"/>
          <w:b/>
          <w:bCs/>
          <w:kern w:val="2"/>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1"/>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righ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0" w:firstLineChars="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hint="eastAsia" w:ascii="仿宋" w:hAnsi="仿宋" w:eastAsia="仿宋" w:cs="宋体"/>
          <w:color w:val="000000"/>
          <w:kern w:val="0"/>
          <w:sz w:val="24"/>
        </w:rPr>
        <w:t>日期：     年     月    日</w:t>
      </w:r>
      <w:r>
        <w:rPr>
          <w:rFonts w:ascii="仿宋" w:hAnsi="仿宋" w:eastAsia="仿宋" w:cs="宋体"/>
          <w:color w:val="000000"/>
        </w:rPr>
        <w:t xml:space="preserve">              </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6F40C"/>
    <w:multiLevelType w:val="singleLevel"/>
    <w:tmpl w:val="5906F40C"/>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55"/>
    <w:rsid w:val="00001C1B"/>
    <w:rsid w:val="00013C4E"/>
    <w:rsid w:val="000161B5"/>
    <w:rsid w:val="00021827"/>
    <w:rsid w:val="00025F33"/>
    <w:rsid w:val="00033110"/>
    <w:rsid w:val="000431D6"/>
    <w:rsid w:val="00056226"/>
    <w:rsid w:val="00063AA0"/>
    <w:rsid w:val="00066824"/>
    <w:rsid w:val="00096678"/>
    <w:rsid w:val="000A088E"/>
    <w:rsid w:val="000B0F79"/>
    <w:rsid w:val="000C03A9"/>
    <w:rsid w:val="000C784C"/>
    <w:rsid w:val="000D0355"/>
    <w:rsid w:val="000F06E2"/>
    <w:rsid w:val="000F0814"/>
    <w:rsid w:val="000F42B8"/>
    <w:rsid w:val="00103712"/>
    <w:rsid w:val="00133FA8"/>
    <w:rsid w:val="0013677C"/>
    <w:rsid w:val="0016435C"/>
    <w:rsid w:val="00165B63"/>
    <w:rsid w:val="0017498E"/>
    <w:rsid w:val="00186079"/>
    <w:rsid w:val="00190BB4"/>
    <w:rsid w:val="001D2415"/>
    <w:rsid w:val="001E1606"/>
    <w:rsid w:val="001E3E69"/>
    <w:rsid w:val="001E41AD"/>
    <w:rsid w:val="001F7D2D"/>
    <w:rsid w:val="00215C06"/>
    <w:rsid w:val="002318DF"/>
    <w:rsid w:val="00244A8F"/>
    <w:rsid w:val="002553C2"/>
    <w:rsid w:val="00257913"/>
    <w:rsid w:val="00257999"/>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400CDC"/>
    <w:rsid w:val="004128C5"/>
    <w:rsid w:val="00420E68"/>
    <w:rsid w:val="00443D10"/>
    <w:rsid w:val="00482583"/>
    <w:rsid w:val="0048600F"/>
    <w:rsid w:val="00493909"/>
    <w:rsid w:val="004A2CEA"/>
    <w:rsid w:val="004A78A2"/>
    <w:rsid w:val="004B3C7D"/>
    <w:rsid w:val="004C7E7D"/>
    <w:rsid w:val="004D72E5"/>
    <w:rsid w:val="004E4564"/>
    <w:rsid w:val="004E46BF"/>
    <w:rsid w:val="004E7458"/>
    <w:rsid w:val="004F3054"/>
    <w:rsid w:val="005023F1"/>
    <w:rsid w:val="00511A6C"/>
    <w:rsid w:val="00511F92"/>
    <w:rsid w:val="0051737C"/>
    <w:rsid w:val="005228EC"/>
    <w:rsid w:val="0053489D"/>
    <w:rsid w:val="00541B21"/>
    <w:rsid w:val="005622E8"/>
    <w:rsid w:val="0058195A"/>
    <w:rsid w:val="00587F99"/>
    <w:rsid w:val="005902F0"/>
    <w:rsid w:val="005A1AD3"/>
    <w:rsid w:val="005B0C42"/>
    <w:rsid w:val="005B5A4F"/>
    <w:rsid w:val="005B7E09"/>
    <w:rsid w:val="005D1B39"/>
    <w:rsid w:val="005D4AF4"/>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D1929"/>
    <w:rsid w:val="006D5CC0"/>
    <w:rsid w:val="006D61F9"/>
    <w:rsid w:val="006E465C"/>
    <w:rsid w:val="006E5108"/>
    <w:rsid w:val="006F108E"/>
    <w:rsid w:val="0070057F"/>
    <w:rsid w:val="00701548"/>
    <w:rsid w:val="00712D65"/>
    <w:rsid w:val="00714FA0"/>
    <w:rsid w:val="0075453D"/>
    <w:rsid w:val="00755C63"/>
    <w:rsid w:val="00757C4D"/>
    <w:rsid w:val="007660D1"/>
    <w:rsid w:val="0077151B"/>
    <w:rsid w:val="0078428F"/>
    <w:rsid w:val="00794BCC"/>
    <w:rsid w:val="007A782E"/>
    <w:rsid w:val="007B16C0"/>
    <w:rsid w:val="007D7E45"/>
    <w:rsid w:val="007E69F8"/>
    <w:rsid w:val="007F34D2"/>
    <w:rsid w:val="008111D2"/>
    <w:rsid w:val="00813D80"/>
    <w:rsid w:val="008218B0"/>
    <w:rsid w:val="00826EBE"/>
    <w:rsid w:val="00827E04"/>
    <w:rsid w:val="00832FBF"/>
    <w:rsid w:val="00836DCD"/>
    <w:rsid w:val="0084396D"/>
    <w:rsid w:val="00846542"/>
    <w:rsid w:val="00852297"/>
    <w:rsid w:val="00853BBD"/>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6B88"/>
    <w:rsid w:val="00940AE1"/>
    <w:rsid w:val="00950B58"/>
    <w:rsid w:val="009707BD"/>
    <w:rsid w:val="009767AD"/>
    <w:rsid w:val="00991585"/>
    <w:rsid w:val="0099257B"/>
    <w:rsid w:val="009A1572"/>
    <w:rsid w:val="009B40CA"/>
    <w:rsid w:val="009B5749"/>
    <w:rsid w:val="009B654D"/>
    <w:rsid w:val="009C0124"/>
    <w:rsid w:val="009C25C2"/>
    <w:rsid w:val="009E64E1"/>
    <w:rsid w:val="009F3291"/>
    <w:rsid w:val="00A10AA6"/>
    <w:rsid w:val="00A23D14"/>
    <w:rsid w:val="00A40B5C"/>
    <w:rsid w:val="00A762A9"/>
    <w:rsid w:val="00AA20BC"/>
    <w:rsid w:val="00AB6C5C"/>
    <w:rsid w:val="00AC051A"/>
    <w:rsid w:val="00AC0C84"/>
    <w:rsid w:val="00AC28C2"/>
    <w:rsid w:val="00AD43F8"/>
    <w:rsid w:val="00AD5773"/>
    <w:rsid w:val="00AE3F67"/>
    <w:rsid w:val="00AE55A6"/>
    <w:rsid w:val="00AF0D6A"/>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E1803"/>
    <w:rsid w:val="00DE7DB8"/>
    <w:rsid w:val="00DF01F0"/>
    <w:rsid w:val="00E01C5E"/>
    <w:rsid w:val="00E02F1C"/>
    <w:rsid w:val="00E064E3"/>
    <w:rsid w:val="00E254D4"/>
    <w:rsid w:val="00E32C0D"/>
    <w:rsid w:val="00E53D13"/>
    <w:rsid w:val="00E62046"/>
    <w:rsid w:val="00E65F0B"/>
    <w:rsid w:val="00E8067C"/>
    <w:rsid w:val="00E91719"/>
    <w:rsid w:val="00E93A95"/>
    <w:rsid w:val="00EA4EFE"/>
    <w:rsid w:val="00EC1941"/>
    <w:rsid w:val="00ED51B9"/>
    <w:rsid w:val="00ED5CA8"/>
    <w:rsid w:val="00EE0EFC"/>
    <w:rsid w:val="00EE4B28"/>
    <w:rsid w:val="00F02D76"/>
    <w:rsid w:val="00F045C3"/>
    <w:rsid w:val="00F05127"/>
    <w:rsid w:val="00F1746E"/>
    <w:rsid w:val="00F208BA"/>
    <w:rsid w:val="00F510B0"/>
    <w:rsid w:val="00F512E9"/>
    <w:rsid w:val="00F54606"/>
    <w:rsid w:val="00F67A6A"/>
    <w:rsid w:val="00F67A9C"/>
    <w:rsid w:val="00F72DB1"/>
    <w:rsid w:val="00F77DC9"/>
    <w:rsid w:val="00F82368"/>
    <w:rsid w:val="00FB10EC"/>
    <w:rsid w:val="00FC0983"/>
    <w:rsid w:val="00FC21F8"/>
    <w:rsid w:val="00FC72F2"/>
    <w:rsid w:val="00FF5911"/>
    <w:rsid w:val="015E11C2"/>
    <w:rsid w:val="02417756"/>
    <w:rsid w:val="02E40AD0"/>
    <w:rsid w:val="033A4D39"/>
    <w:rsid w:val="034644C7"/>
    <w:rsid w:val="04196F12"/>
    <w:rsid w:val="04435A9E"/>
    <w:rsid w:val="04950991"/>
    <w:rsid w:val="054B7EFA"/>
    <w:rsid w:val="05831998"/>
    <w:rsid w:val="060A409E"/>
    <w:rsid w:val="0610015A"/>
    <w:rsid w:val="066C6455"/>
    <w:rsid w:val="06930C07"/>
    <w:rsid w:val="06F873FB"/>
    <w:rsid w:val="072859C3"/>
    <w:rsid w:val="07853686"/>
    <w:rsid w:val="079A3378"/>
    <w:rsid w:val="079E0D8E"/>
    <w:rsid w:val="07B45D81"/>
    <w:rsid w:val="07C26F1E"/>
    <w:rsid w:val="07C52B3D"/>
    <w:rsid w:val="07D6576F"/>
    <w:rsid w:val="07F1682B"/>
    <w:rsid w:val="08064FC2"/>
    <w:rsid w:val="080D6F41"/>
    <w:rsid w:val="08A87A0E"/>
    <w:rsid w:val="08D300AE"/>
    <w:rsid w:val="09277EEB"/>
    <w:rsid w:val="096506FA"/>
    <w:rsid w:val="0A01440A"/>
    <w:rsid w:val="0A513B0D"/>
    <w:rsid w:val="0A5478A3"/>
    <w:rsid w:val="0A9C6FCF"/>
    <w:rsid w:val="0AB3086E"/>
    <w:rsid w:val="0CE74AB8"/>
    <w:rsid w:val="0CEE0594"/>
    <w:rsid w:val="0D3600BA"/>
    <w:rsid w:val="0DD32259"/>
    <w:rsid w:val="0ECC1455"/>
    <w:rsid w:val="0EF43DB9"/>
    <w:rsid w:val="0F850895"/>
    <w:rsid w:val="102F133E"/>
    <w:rsid w:val="10987645"/>
    <w:rsid w:val="10ED247D"/>
    <w:rsid w:val="110764BF"/>
    <w:rsid w:val="113A6DA1"/>
    <w:rsid w:val="114758B1"/>
    <w:rsid w:val="119A5652"/>
    <w:rsid w:val="11BA7B51"/>
    <w:rsid w:val="120F1E2C"/>
    <w:rsid w:val="12540566"/>
    <w:rsid w:val="12946645"/>
    <w:rsid w:val="12D3200B"/>
    <w:rsid w:val="12F143AA"/>
    <w:rsid w:val="13495D69"/>
    <w:rsid w:val="13944E65"/>
    <w:rsid w:val="13B7767A"/>
    <w:rsid w:val="13B9670D"/>
    <w:rsid w:val="13DE4767"/>
    <w:rsid w:val="143353E5"/>
    <w:rsid w:val="14402348"/>
    <w:rsid w:val="14484DCB"/>
    <w:rsid w:val="14852776"/>
    <w:rsid w:val="15140BCE"/>
    <w:rsid w:val="155252CD"/>
    <w:rsid w:val="1584793E"/>
    <w:rsid w:val="15874EAA"/>
    <w:rsid w:val="15C47445"/>
    <w:rsid w:val="15DF45C9"/>
    <w:rsid w:val="15E41B70"/>
    <w:rsid w:val="16440A35"/>
    <w:rsid w:val="16577530"/>
    <w:rsid w:val="167255CF"/>
    <w:rsid w:val="16840173"/>
    <w:rsid w:val="16FB6F37"/>
    <w:rsid w:val="17D31FDC"/>
    <w:rsid w:val="17D76C2B"/>
    <w:rsid w:val="17F8769D"/>
    <w:rsid w:val="18041AB4"/>
    <w:rsid w:val="18BD625C"/>
    <w:rsid w:val="190F268E"/>
    <w:rsid w:val="19287585"/>
    <w:rsid w:val="19610BFF"/>
    <w:rsid w:val="19953307"/>
    <w:rsid w:val="19A07D04"/>
    <w:rsid w:val="1AB13D5A"/>
    <w:rsid w:val="1B2C6F2C"/>
    <w:rsid w:val="1B491406"/>
    <w:rsid w:val="1B5D5F33"/>
    <w:rsid w:val="1BA24967"/>
    <w:rsid w:val="1BAF6A57"/>
    <w:rsid w:val="1BCE5D96"/>
    <w:rsid w:val="1BDE2098"/>
    <w:rsid w:val="1BE069CA"/>
    <w:rsid w:val="1C465E86"/>
    <w:rsid w:val="1C726314"/>
    <w:rsid w:val="1CE252F3"/>
    <w:rsid w:val="1D104FDC"/>
    <w:rsid w:val="1D117096"/>
    <w:rsid w:val="1DE516B8"/>
    <w:rsid w:val="1E266894"/>
    <w:rsid w:val="1E433C85"/>
    <w:rsid w:val="1ED877DF"/>
    <w:rsid w:val="1F0B3DFE"/>
    <w:rsid w:val="1F5522A7"/>
    <w:rsid w:val="1FD45CE1"/>
    <w:rsid w:val="206D04AE"/>
    <w:rsid w:val="21056FBC"/>
    <w:rsid w:val="21433609"/>
    <w:rsid w:val="214D162F"/>
    <w:rsid w:val="22171129"/>
    <w:rsid w:val="222D0D62"/>
    <w:rsid w:val="233713F4"/>
    <w:rsid w:val="2350568B"/>
    <w:rsid w:val="237F35E5"/>
    <w:rsid w:val="23A50D24"/>
    <w:rsid w:val="23E44373"/>
    <w:rsid w:val="242806AA"/>
    <w:rsid w:val="24392A65"/>
    <w:rsid w:val="2467066D"/>
    <w:rsid w:val="24990D68"/>
    <w:rsid w:val="24E91956"/>
    <w:rsid w:val="252E26F1"/>
    <w:rsid w:val="25C3267A"/>
    <w:rsid w:val="25D568B4"/>
    <w:rsid w:val="25F33B9E"/>
    <w:rsid w:val="260741F4"/>
    <w:rsid w:val="260C731E"/>
    <w:rsid w:val="26103F21"/>
    <w:rsid w:val="277C78FD"/>
    <w:rsid w:val="27940DBE"/>
    <w:rsid w:val="279F3EB1"/>
    <w:rsid w:val="27DB6FEA"/>
    <w:rsid w:val="27EA63D1"/>
    <w:rsid w:val="28635E04"/>
    <w:rsid w:val="287106B5"/>
    <w:rsid w:val="287A5D0E"/>
    <w:rsid w:val="289C222B"/>
    <w:rsid w:val="28B05EE9"/>
    <w:rsid w:val="28D30187"/>
    <w:rsid w:val="28E571A8"/>
    <w:rsid w:val="294C4E21"/>
    <w:rsid w:val="296D4B02"/>
    <w:rsid w:val="2A103412"/>
    <w:rsid w:val="2A1E1418"/>
    <w:rsid w:val="2A4867D3"/>
    <w:rsid w:val="2A770C99"/>
    <w:rsid w:val="2B693BB0"/>
    <w:rsid w:val="2BBB2833"/>
    <w:rsid w:val="2BC42334"/>
    <w:rsid w:val="2BCC4DCB"/>
    <w:rsid w:val="2C1011CD"/>
    <w:rsid w:val="2C2E603F"/>
    <w:rsid w:val="2C40390A"/>
    <w:rsid w:val="2C4C703B"/>
    <w:rsid w:val="2D241337"/>
    <w:rsid w:val="2D753D30"/>
    <w:rsid w:val="2DC02129"/>
    <w:rsid w:val="2E010168"/>
    <w:rsid w:val="2E6A7D66"/>
    <w:rsid w:val="2EA972CC"/>
    <w:rsid w:val="2EB156AA"/>
    <w:rsid w:val="2EC31B75"/>
    <w:rsid w:val="2F0B49DA"/>
    <w:rsid w:val="2FE72027"/>
    <w:rsid w:val="2FF53796"/>
    <w:rsid w:val="306A1371"/>
    <w:rsid w:val="310348DA"/>
    <w:rsid w:val="3127549C"/>
    <w:rsid w:val="31533557"/>
    <w:rsid w:val="31B41A9A"/>
    <w:rsid w:val="31B54A8B"/>
    <w:rsid w:val="31C723A9"/>
    <w:rsid w:val="31C74937"/>
    <w:rsid w:val="31F02E84"/>
    <w:rsid w:val="32062205"/>
    <w:rsid w:val="322068C9"/>
    <w:rsid w:val="326170B4"/>
    <w:rsid w:val="328F3B54"/>
    <w:rsid w:val="329A11A0"/>
    <w:rsid w:val="32FF7EB7"/>
    <w:rsid w:val="337D6587"/>
    <w:rsid w:val="338E5F10"/>
    <w:rsid w:val="33D87699"/>
    <w:rsid w:val="34126396"/>
    <w:rsid w:val="345233D4"/>
    <w:rsid w:val="345E593B"/>
    <w:rsid w:val="34605A84"/>
    <w:rsid w:val="346C230B"/>
    <w:rsid w:val="3470408E"/>
    <w:rsid w:val="35034F52"/>
    <w:rsid w:val="352C602C"/>
    <w:rsid w:val="35B16527"/>
    <w:rsid w:val="36350949"/>
    <w:rsid w:val="36B76A85"/>
    <w:rsid w:val="36B82ADE"/>
    <w:rsid w:val="376879F0"/>
    <w:rsid w:val="37EC4B4C"/>
    <w:rsid w:val="387B665C"/>
    <w:rsid w:val="3911492F"/>
    <w:rsid w:val="39690814"/>
    <w:rsid w:val="39B76C90"/>
    <w:rsid w:val="39C37A55"/>
    <w:rsid w:val="39C53B44"/>
    <w:rsid w:val="39EF39C3"/>
    <w:rsid w:val="3A23092B"/>
    <w:rsid w:val="3A35598B"/>
    <w:rsid w:val="3A595F4B"/>
    <w:rsid w:val="3B4C73CF"/>
    <w:rsid w:val="3B7424DE"/>
    <w:rsid w:val="3BAC3E57"/>
    <w:rsid w:val="3BC55932"/>
    <w:rsid w:val="3C7826C2"/>
    <w:rsid w:val="3C8F2051"/>
    <w:rsid w:val="3CD87A38"/>
    <w:rsid w:val="3D83215E"/>
    <w:rsid w:val="3DFF3A1A"/>
    <w:rsid w:val="3E301450"/>
    <w:rsid w:val="3EA946F7"/>
    <w:rsid w:val="3ED615CF"/>
    <w:rsid w:val="3EEC674A"/>
    <w:rsid w:val="3F512FF6"/>
    <w:rsid w:val="3F521E11"/>
    <w:rsid w:val="3F8907F6"/>
    <w:rsid w:val="3F8B7D7F"/>
    <w:rsid w:val="3FD60E4A"/>
    <w:rsid w:val="3FDA33E1"/>
    <w:rsid w:val="3FF20B0E"/>
    <w:rsid w:val="40670EF7"/>
    <w:rsid w:val="40974D22"/>
    <w:rsid w:val="40AB1A12"/>
    <w:rsid w:val="40E269AC"/>
    <w:rsid w:val="41012626"/>
    <w:rsid w:val="417575F2"/>
    <w:rsid w:val="418E0DD4"/>
    <w:rsid w:val="41BD7655"/>
    <w:rsid w:val="41CC7DB7"/>
    <w:rsid w:val="422F5770"/>
    <w:rsid w:val="428C4F5B"/>
    <w:rsid w:val="42F60353"/>
    <w:rsid w:val="438556A7"/>
    <w:rsid w:val="43A6228A"/>
    <w:rsid w:val="443602AD"/>
    <w:rsid w:val="447334FB"/>
    <w:rsid w:val="44825B3D"/>
    <w:rsid w:val="44CC2C77"/>
    <w:rsid w:val="4524487F"/>
    <w:rsid w:val="459A651C"/>
    <w:rsid w:val="45CC078F"/>
    <w:rsid w:val="45DE20BB"/>
    <w:rsid w:val="466B6F06"/>
    <w:rsid w:val="46860155"/>
    <w:rsid w:val="476049FD"/>
    <w:rsid w:val="47802A85"/>
    <w:rsid w:val="487C60FD"/>
    <w:rsid w:val="489E098C"/>
    <w:rsid w:val="48B61CC6"/>
    <w:rsid w:val="492A5B50"/>
    <w:rsid w:val="49321AAF"/>
    <w:rsid w:val="493A681C"/>
    <w:rsid w:val="493C2E02"/>
    <w:rsid w:val="494D579F"/>
    <w:rsid w:val="498C1FB1"/>
    <w:rsid w:val="49FA71E4"/>
    <w:rsid w:val="4A255416"/>
    <w:rsid w:val="4A937164"/>
    <w:rsid w:val="4A9750EA"/>
    <w:rsid w:val="4AA40703"/>
    <w:rsid w:val="4B1D70C8"/>
    <w:rsid w:val="4B690413"/>
    <w:rsid w:val="4BB86F47"/>
    <w:rsid w:val="4BF60566"/>
    <w:rsid w:val="4C263A21"/>
    <w:rsid w:val="4C9735D9"/>
    <w:rsid w:val="4C973694"/>
    <w:rsid w:val="4CCE54E6"/>
    <w:rsid w:val="4D69791B"/>
    <w:rsid w:val="4EDD4EDE"/>
    <w:rsid w:val="4EE45C33"/>
    <w:rsid w:val="500C5A60"/>
    <w:rsid w:val="5011026C"/>
    <w:rsid w:val="50461117"/>
    <w:rsid w:val="509A5F14"/>
    <w:rsid w:val="51954E8A"/>
    <w:rsid w:val="519B5496"/>
    <w:rsid w:val="52667895"/>
    <w:rsid w:val="52B20439"/>
    <w:rsid w:val="53735224"/>
    <w:rsid w:val="537D24F6"/>
    <w:rsid w:val="543C05E0"/>
    <w:rsid w:val="54B9651A"/>
    <w:rsid w:val="54F9389F"/>
    <w:rsid w:val="55222910"/>
    <w:rsid w:val="55643FAD"/>
    <w:rsid w:val="559032FC"/>
    <w:rsid w:val="55EF2193"/>
    <w:rsid w:val="55F91DD5"/>
    <w:rsid w:val="560165A7"/>
    <w:rsid w:val="560B3FD6"/>
    <w:rsid w:val="563121A3"/>
    <w:rsid w:val="563A5292"/>
    <w:rsid w:val="5646747A"/>
    <w:rsid w:val="567B0F8C"/>
    <w:rsid w:val="56CF6342"/>
    <w:rsid w:val="56D476A1"/>
    <w:rsid w:val="574328BF"/>
    <w:rsid w:val="57AD4BE0"/>
    <w:rsid w:val="584667E1"/>
    <w:rsid w:val="5884596F"/>
    <w:rsid w:val="59425186"/>
    <w:rsid w:val="598336AE"/>
    <w:rsid w:val="599B3F0F"/>
    <w:rsid w:val="59A2047A"/>
    <w:rsid w:val="5A41650D"/>
    <w:rsid w:val="5A7852B1"/>
    <w:rsid w:val="5A8901E3"/>
    <w:rsid w:val="5AA97C90"/>
    <w:rsid w:val="5AE4319D"/>
    <w:rsid w:val="5BB21A6A"/>
    <w:rsid w:val="5C7E5C8C"/>
    <w:rsid w:val="5CE90207"/>
    <w:rsid w:val="5E3B759B"/>
    <w:rsid w:val="5E501568"/>
    <w:rsid w:val="5E50611E"/>
    <w:rsid w:val="5EB138AE"/>
    <w:rsid w:val="5EB53035"/>
    <w:rsid w:val="5ED23CC7"/>
    <w:rsid w:val="5EE6353D"/>
    <w:rsid w:val="5F0310B7"/>
    <w:rsid w:val="5F0C287E"/>
    <w:rsid w:val="5F5952B0"/>
    <w:rsid w:val="602E28A2"/>
    <w:rsid w:val="60C0423D"/>
    <w:rsid w:val="60E7450D"/>
    <w:rsid w:val="6166406C"/>
    <w:rsid w:val="618F3AF2"/>
    <w:rsid w:val="61DA68DC"/>
    <w:rsid w:val="61EE4A2A"/>
    <w:rsid w:val="622708C6"/>
    <w:rsid w:val="62460A47"/>
    <w:rsid w:val="63554C8E"/>
    <w:rsid w:val="63890B77"/>
    <w:rsid w:val="639D1EC4"/>
    <w:rsid w:val="63A13700"/>
    <w:rsid w:val="63DA03E2"/>
    <w:rsid w:val="6412223B"/>
    <w:rsid w:val="64541B77"/>
    <w:rsid w:val="64667487"/>
    <w:rsid w:val="64E9282A"/>
    <w:rsid w:val="65A8631F"/>
    <w:rsid w:val="65C63D9B"/>
    <w:rsid w:val="66103AAA"/>
    <w:rsid w:val="667640C4"/>
    <w:rsid w:val="66DC24A5"/>
    <w:rsid w:val="66DF3B52"/>
    <w:rsid w:val="672963E0"/>
    <w:rsid w:val="6757676E"/>
    <w:rsid w:val="675A4556"/>
    <w:rsid w:val="675C47D1"/>
    <w:rsid w:val="675E5725"/>
    <w:rsid w:val="679271B5"/>
    <w:rsid w:val="67954DBD"/>
    <w:rsid w:val="67AE1BA6"/>
    <w:rsid w:val="67B63BB5"/>
    <w:rsid w:val="68191A65"/>
    <w:rsid w:val="68F60924"/>
    <w:rsid w:val="69572330"/>
    <w:rsid w:val="698C4C9E"/>
    <w:rsid w:val="69E719A0"/>
    <w:rsid w:val="6A5B0FA5"/>
    <w:rsid w:val="6A7D5D1A"/>
    <w:rsid w:val="6A983C35"/>
    <w:rsid w:val="6ABE5282"/>
    <w:rsid w:val="6B4C2F45"/>
    <w:rsid w:val="6B966680"/>
    <w:rsid w:val="6BA922C5"/>
    <w:rsid w:val="6C0F3A69"/>
    <w:rsid w:val="6C161AD0"/>
    <w:rsid w:val="6C5331FD"/>
    <w:rsid w:val="6D157AE9"/>
    <w:rsid w:val="6D2E7D50"/>
    <w:rsid w:val="6DA9493E"/>
    <w:rsid w:val="6DD90E21"/>
    <w:rsid w:val="6DE0162F"/>
    <w:rsid w:val="6DFA3383"/>
    <w:rsid w:val="6E1A49C5"/>
    <w:rsid w:val="6E254EA7"/>
    <w:rsid w:val="6EBB30B7"/>
    <w:rsid w:val="6F786BDA"/>
    <w:rsid w:val="709573C6"/>
    <w:rsid w:val="709E2354"/>
    <w:rsid w:val="70E70772"/>
    <w:rsid w:val="71900429"/>
    <w:rsid w:val="719027A5"/>
    <w:rsid w:val="71C9496E"/>
    <w:rsid w:val="71EE76F7"/>
    <w:rsid w:val="725F0CAE"/>
    <w:rsid w:val="72981180"/>
    <w:rsid w:val="729C09F9"/>
    <w:rsid w:val="73155C46"/>
    <w:rsid w:val="7366194C"/>
    <w:rsid w:val="74062834"/>
    <w:rsid w:val="740D552E"/>
    <w:rsid w:val="74136087"/>
    <w:rsid w:val="74A805D6"/>
    <w:rsid w:val="74A870B6"/>
    <w:rsid w:val="74D36EF6"/>
    <w:rsid w:val="74F17D43"/>
    <w:rsid w:val="74FA0674"/>
    <w:rsid w:val="754F1383"/>
    <w:rsid w:val="75DC198B"/>
    <w:rsid w:val="764A2B58"/>
    <w:rsid w:val="76661B90"/>
    <w:rsid w:val="76770E44"/>
    <w:rsid w:val="77731DCC"/>
    <w:rsid w:val="77B301A9"/>
    <w:rsid w:val="77F43C8B"/>
    <w:rsid w:val="78995FF4"/>
    <w:rsid w:val="78FB1E09"/>
    <w:rsid w:val="79BB4445"/>
    <w:rsid w:val="79CC1086"/>
    <w:rsid w:val="79EF28EF"/>
    <w:rsid w:val="7A0E66B3"/>
    <w:rsid w:val="7A300713"/>
    <w:rsid w:val="7A3B7268"/>
    <w:rsid w:val="7A917226"/>
    <w:rsid w:val="7AB968E7"/>
    <w:rsid w:val="7AC65BFC"/>
    <w:rsid w:val="7B0735D8"/>
    <w:rsid w:val="7B0F7EA2"/>
    <w:rsid w:val="7B2F3DDD"/>
    <w:rsid w:val="7B4B41CD"/>
    <w:rsid w:val="7B5A24C6"/>
    <w:rsid w:val="7C0124D7"/>
    <w:rsid w:val="7C6B7290"/>
    <w:rsid w:val="7CCC696B"/>
    <w:rsid w:val="7CDB4C9F"/>
    <w:rsid w:val="7D016D57"/>
    <w:rsid w:val="7D2B624D"/>
    <w:rsid w:val="7DAC426D"/>
    <w:rsid w:val="7E055AAC"/>
    <w:rsid w:val="7EA630E7"/>
    <w:rsid w:val="7EB61058"/>
    <w:rsid w:val="7ED004CF"/>
    <w:rsid w:val="7F691199"/>
    <w:rsid w:val="7F9C17F8"/>
    <w:rsid w:val="7FA90BF5"/>
    <w:rsid w:val="7FEC57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qFormat/>
    <w:uiPriority w:val="0"/>
    <w:pPr>
      <w:jc w:val="left"/>
    </w:pPr>
  </w:style>
  <w:style w:type="paragraph" w:styleId="3">
    <w:name w:val="Body Text Indent"/>
    <w:basedOn w:val="1"/>
    <w:unhideWhenUsed/>
    <w:qFormat/>
    <w:uiPriority w:val="0"/>
    <w:pPr>
      <w:ind w:firstLine="630"/>
    </w:pPr>
    <w:rPr>
      <w:kern w:val="0"/>
      <w:sz w:val="24"/>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7">
    <w:name w:val="annotation subject"/>
    <w:basedOn w:val="2"/>
    <w:next w:val="2"/>
    <w:link w:val="13"/>
    <w:qFormat/>
    <w:uiPriority w:val="0"/>
    <w:rPr>
      <w:b/>
      <w:bCs/>
    </w:rPr>
  </w:style>
  <w:style w:type="character" w:styleId="10">
    <w:name w:val="annotation reference"/>
    <w:qFormat/>
    <w:uiPriority w:val="0"/>
    <w:rPr>
      <w:sz w:val="21"/>
      <w:szCs w:val="21"/>
    </w:rPr>
  </w:style>
  <w:style w:type="paragraph" w:customStyle="1" w:styleId="11">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2">
    <w:name w:val="批注文字 Char"/>
    <w:link w:val="2"/>
    <w:qFormat/>
    <w:uiPriority w:val="0"/>
    <w:rPr>
      <w:kern w:val="2"/>
      <w:sz w:val="21"/>
      <w:szCs w:val="24"/>
    </w:rPr>
  </w:style>
  <w:style w:type="character" w:customStyle="1" w:styleId="13">
    <w:name w:val="批注主题 Char"/>
    <w:link w:val="7"/>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18</Pages>
  <Words>2360</Words>
  <Characters>13452</Characters>
  <Lines>112</Lines>
  <Paragraphs>31</Paragraphs>
  <TotalTime>166</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2022-08-01T07:07:00Z</dcterms:created>
  <dc:creator>ylh;陈晓飞</dc:creator>
  <cp:keywords>22Y8</cp:keywords>
  <cp:lastModifiedBy>马宁</cp:lastModifiedBy>
  <cp:lastPrinted>2021-07-21T07:06:00Z</cp:lastPrinted>
  <dcterms:modified xsi:type="dcterms:W3CDTF">2025-10-15T11:20:38Z</dcterms:modified>
  <dc:title>华夏理财固定收益债权型封闭式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3E7E451B48564BE58FCA43470A94520D</vt:lpwstr>
  </property>
</Properties>
</file>